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82F" w:rsidRPr="00E93721" w:rsidRDefault="008F182F" w:rsidP="008F182F">
      <w:pPr>
        <w:pStyle w:val="ZZAnxheader"/>
        <w:ind w:firstLine="1238"/>
      </w:pPr>
      <w:r w:rsidRPr="00E93721">
        <w:t>Annex to decision BC-12/19</w:t>
      </w:r>
    </w:p>
    <w:p w:rsidR="008F182F" w:rsidRPr="00E93721" w:rsidRDefault="008F182F" w:rsidP="008F182F">
      <w:pPr>
        <w:pStyle w:val="CH1"/>
        <w:keepLines w:val="0"/>
        <w:rPr>
          <w:bCs/>
          <w:szCs w:val="26"/>
        </w:rPr>
      </w:pPr>
      <w:r w:rsidRPr="00E93721">
        <w:rPr>
          <w:bCs/>
          <w:szCs w:val="26"/>
        </w:rPr>
        <w:tab/>
      </w:r>
      <w:r w:rsidRPr="00E93721">
        <w:rPr>
          <w:bCs/>
          <w:szCs w:val="26"/>
        </w:rPr>
        <w:tab/>
        <w:t xml:space="preserve">Work programme of the Open-ended Working Group for </w:t>
      </w:r>
      <w:r w:rsidRPr="00E93721">
        <w:rPr>
          <w:bCs/>
          <w:szCs w:val="26"/>
        </w:rPr>
        <w:br/>
        <w:t xml:space="preserve">the biennium 2016–2017 </w:t>
      </w:r>
    </w:p>
    <w:tbl>
      <w:tblPr>
        <w:tblW w:w="8504" w:type="dxa"/>
        <w:tblInd w:w="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5"/>
        <w:gridCol w:w="3686"/>
        <w:gridCol w:w="2124"/>
        <w:gridCol w:w="999"/>
      </w:tblGrid>
      <w:tr w:rsidR="008F182F" w:rsidRPr="00E93721" w:rsidTr="00116488">
        <w:trPr>
          <w:trHeight w:val="20"/>
          <w:tblHead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8F182F" w:rsidRPr="00E93721" w:rsidRDefault="008F182F" w:rsidP="00116488">
            <w:pPr>
              <w:keepNext/>
              <w:widowControl w:val="0"/>
              <w:tabs>
                <w:tab w:val="left" w:pos="624"/>
                <w:tab w:val="left" w:pos="1871"/>
                <w:tab w:val="left" w:pos="2495"/>
                <w:tab w:val="left" w:pos="3119"/>
                <w:tab w:val="left" w:pos="3742"/>
                <w:tab w:val="left" w:pos="4366"/>
                <w:tab w:val="left" w:pos="4990"/>
                <w:tab w:val="left" w:pos="5613"/>
              </w:tabs>
              <w:spacing w:before="60" w:after="60"/>
              <w:jc w:val="center"/>
              <w:rPr>
                <w:bCs/>
                <w:i/>
              </w:rPr>
            </w:pPr>
            <w:r w:rsidRPr="00E93721">
              <w:rPr>
                <w:bCs/>
                <w:i/>
              </w:rPr>
              <w:t>Topics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F182F" w:rsidRPr="00E93721" w:rsidRDefault="008F182F" w:rsidP="00116488">
            <w:pPr>
              <w:keepNext/>
              <w:widowControl w:val="0"/>
              <w:tabs>
                <w:tab w:val="left" w:pos="624"/>
                <w:tab w:val="left" w:pos="1871"/>
                <w:tab w:val="left" w:pos="2495"/>
                <w:tab w:val="left" w:pos="3119"/>
                <w:tab w:val="left" w:pos="3742"/>
                <w:tab w:val="left" w:pos="4366"/>
                <w:tab w:val="left" w:pos="4990"/>
                <w:tab w:val="left" w:pos="5613"/>
              </w:tabs>
              <w:spacing w:before="60" w:after="60"/>
              <w:jc w:val="center"/>
              <w:rPr>
                <w:bCs/>
                <w:i/>
              </w:rPr>
            </w:pPr>
            <w:r w:rsidRPr="00E93721">
              <w:rPr>
                <w:bCs/>
                <w:i/>
              </w:rPr>
              <w:t>Activities</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8F182F" w:rsidRPr="00E93721" w:rsidRDefault="008F182F" w:rsidP="00116488">
            <w:pPr>
              <w:keepNext/>
              <w:widowControl w:val="0"/>
              <w:tabs>
                <w:tab w:val="left" w:pos="624"/>
                <w:tab w:val="left" w:pos="1871"/>
                <w:tab w:val="left" w:pos="2495"/>
                <w:tab w:val="left" w:pos="3119"/>
                <w:tab w:val="left" w:pos="3742"/>
                <w:tab w:val="left" w:pos="4366"/>
                <w:tab w:val="left" w:pos="4990"/>
                <w:tab w:val="left" w:pos="5613"/>
              </w:tabs>
              <w:spacing w:before="60" w:after="60"/>
              <w:jc w:val="center"/>
              <w:rPr>
                <w:bCs/>
                <w:i/>
              </w:rPr>
            </w:pPr>
            <w:r w:rsidRPr="00E93721">
              <w:rPr>
                <w:bCs/>
                <w:i/>
              </w:rPr>
              <w:t>Mandate</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8F182F" w:rsidRPr="00E93721" w:rsidRDefault="008F182F" w:rsidP="00116488">
            <w:pPr>
              <w:keepNext/>
              <w:widowControl w:val="0"/>
              <w:tabs>
                <w:tab w:val="left" w:pos="624"/>
                <w:tab w:val="left" w:pos="1871"/>
                <w:tab w:val="left" w:pos="2495"/>
                <w:tab w:val="left" w:pos="3119"/>
                <w:tab w:val="left" w:pos="3742"/>
                <w:tab w:val="left" w:pos="4366"/>
                <w:tab w:val="left" w:pos="4990"/>
                <w:tab w:val="left" w:pos="5613"/>
              </w:tabs>
              <w:spacing w:before="60" w:after="60"/>
              <w:jc w:val="center"/>
              <w:rPr>
                <w:bCs/>
                <w:i/>
              </w:rPr>
            </w:pPr>
            <w:r w:rsidRPr="00E93721">
              <w:rPr>
                <w:bCs/>
                <w:i/>
              </w:rPr>
              <w:t>Priority</w:t>
            </w:r>
          </w:p>
        </w:tc>
      </w:tr>
      <w:tr w:rsidR="008F182F" w:rsidRPr="00E93721" w:rsidTr="00116488">
        <w:trPr>
          <w:trHeight w:val="20"/>
        </w:trPr>
        <w:tc>
          <w:tcPr>
            <w:tcW w:w="8504" w:type="dxa"/>
            <w:gridSpan w:val="4"/>
            <w:tcBorders>
              <w:top w:val="single" w:sz="4" w:space="0" w:color="auto"/>
              <w:left w:val="single" w:sz="4" w:space="0" w:color="auto"/>
              <w:bottom w:val="single" w:sz="4" w:space="0" w:color="auto"/>
              <w:right w:val="single" w:sz="4" w:space="0" w:color="auto"/>
            </w:tcBorders>
          </w:tcPr>
          <w:p w:rsidR="008F182F" w:rsidRPr="00E93721" w:rsidRDefault="008F182F" w:rsidP="00116488">
            <w:pPr>
              <w:pStyle w:val="Normal-pool"/>
              <w:keepNext/>
              <w:widowControl w:val="0"/>
              <w:tabs>
                <w:tab w:val="clear" w:pos="1247"/>
                <w:tab w:val="clear" w:pos="1814"/>
                <w:tab w:val="clear" w:pos="2381"/>
                <w:tab w:val="clear" w:pos="2948"/>
                <w:tab w:val="clear" w:pos="3515"/>
                <w:tab w:val="left" w:pos="615"/>
              </w:tabs>
              <w:spacing w:before="60" w:after="60"/>
              <w:rPr>
                <w:b/>
                <w:bCs/>
              </w:rPr>
            </w:pPr>
            <w:r w:rsidRPr="00E93721">
              <w:rPr>
                <w:b/>
                <w:bCs/>
              </w:rPr>
              <w:t>I.  Strategic issues</w:t>
            </w:r>
          </w:p>
        </w:tc>
      </w:tr>
      <w:tr w:rsidR="008F182F" w:rsidRPr="00E93721" w:rsidTr="00116488">
        <w:trPr>
          <w:trHeight w:val="2035"/>
        </w:trPr>
        <w:tc>
          <w:tcPr>
            <w:tcW w:w="1695" w:type="dxa"/>
            <w:tcBorders>
              <w:top w:val="single" w:sz="4" w:space="0" w:color="auto"/>
              <w:left w:val="single" w:sz="4" w:space="0" w:color="auto"/>
              <w:bottom w:val="single" w:sz="4" w:space="0" w:color="auto"/>
              <w:right w:val="single" w:sz="4" w:space="0" w:color="auto"/>
            </w:tcBorders>
            <w:shd w:val="clear" w:color="auto" w:fill="auto"/>
          </w:tcPr>
          <w:p w:rsidR="008F182F" w:rsidRPr="00E93721" w:rsidRDefault="008F182F" w:rsidP="00116488">
            <w:pPr>
              <w:pStyle w:val="Normal-pool"/>
              <w:widowControl w:val="0"/>
              <w:spacing w:before="60" w:after="60"/>
            </w:pPr>
            <w:r w:rsidRPr="00E93721">
              <w:t>A. Cartagena Declaration on the Prevention, Minimization and Recovery of Hazardous Wastes and Other Wastes</w:t>
            </w:r>
          </w:p>
        </w:tc>
        <w:tc>
          <w:tcPr>
            <w:tcW w:w="3686" w:type="dxa"/>
            <w:tcBorders>
              <w:top w:val="single" w:sz="4" w:space="0" w:color="auto"/>
              <w:left w:val="single" w:sz="4" w:space="0" w:color="auto"/>
              <w:right w:val="single" w:sz="4" w:space="0" w:color="auto"/>
            </w:tcBorders>
          </w:tcPr>
          <w:p w:rsidR="008F182F" w:rsidRPr="00E93721" w:rsidRDefault="008F182F" w:rsidP="00116488">
            <w:pPr>
              <w:pStyle w:val="Normal-pool"/>
              <w:widowControl w:val="0"/>
              <w:spacing w:before="60" w:after="60"/>
              <w:rPr>
                <w:rFonts w:eastAsia="Batang"/>
                <w:lang w:eastAsia="ko-KR"/>
              </w:rPr>
            </w:pPr>
            <w:r w:rsidRPr="00E93721">
              <w:rPr>
                <w:rFonts w:eastAsia="Batang"/>
                <w:lang w:eastAsia="ko-KR"/>
              </w:rPr>
              <w:t>Review the progress that parties and others have made in implementation of the road map for action on the implementation of the Cartagena Declaration.</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8F182F" w:rsidRPr="00E93721" w:rsidRDefault="008F182F" w:rsidP="00116488">
            <w:pPr>
              <w:pStyle w:val="Normal-pool"/>
              <w:widowControl w:val="0"/>
              <w:spacing w:before="60" w:after="60"/>
            </w:pPr>
            <w:r w:rsidRPr="00E93721">
              <w:t>Decision BC-12/2</w:t>
            </w:r>
          </w:p>
          <w:p w:rsidR="008F182F" w:rsidRPr="00E93721" w:rsidRDefault="008F182F" w:rsidP="00116488">
            <w:pPr>
              <w:pStyle w:val="Normal-pool"/>
              <w:widowControl w:val="0"/>
              <w:spacing w:before="60" w:after="60"/>
            </w:pPr>
            <w:r w:rsidRPr="00E93721">
              <w:t>Annex IV to the report of the tenth meeting of the Conference of the Parties</w:t>
            </w:r>
          </w:p>
          <w:p w:rsidR="008F182F" w:rsidRPr="00E93721" w:rsidRDefault="008F182F" w:rsidP="00116488">
            <w:pPr>
              <w:pStyle w:val="Normal-pool"/>
              <w:widowControl w:val="0"/>
              <w:spacing w:before="60" w:after="60"/>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8F182F" w:rsidRPr="00E93721" w:rsidRDefault="008F182F" w:rsidP="00116488">
            <w:pPr>
              <w:pStyle w:val="Normal-pool"/>
              <w:widowControl w:val="0"/>
              <w:spacing w:before="60" w:after="60"/>
            </w:pPr>
            <w:r w:rsidRPr="00E93721">
              <w:t>High</w:t>
            </w:r>
          </w:p>
        </w:tc>
      </w:tr>
      <w:tr w:rsidR="008F182F" w:rsidRPr="00E93721" w:rsidTr="00116488">
        <w:trPr>
          <w:trHeight w:val="884"/>
        </w:trPr>
        <w:tc>
          <w:tcPr>
            <w:tcW w:w="1695" w:type="dxa"/>
            <w:tcBorders>
              <w:left w:val="single" w:sz="4" w:space="0" w:color="auto"/>
              <w:right w:val="single" w:sz="4" w:space="0" w:color="auto"/>
            </w:tcBorders>
            <w:shd w:val="clear" w:color="auto" w:fill="auto"/>
          </w:tcPr>
          <w:p w:rsidR="008F182F" w:rsidRPr="00E93721" w:rsidRDefault="008F182F" w:rsidP="00116488">
            <w:pPr>
              <w:pStyle w:val="Normal-pool"/>
              <w:widowControl w:val="0"/>
              <w:spacing w:before="60" w:after="60"/>
            </w:pPr>
            <w:r w:rsidRPr="00E93721">
              <w:t>B. Development of guidelines for environmentally sound management</w:t>
            </w:r>
          </w:p>
        </w:tc>
        <w:tc>
          <w:tcPr>
            <w:tcW w:w="3686" w:type="dxa"/>
            <w:tcBorders>
              <w:top w:val="single" w:sz="4" w:space="0" w:color="auto"/>
              <w:left w:val="single" w:sz="4" w:space="0" w:color="auto"/>
              <w:right w:val="single" w:sz="4" w:space="0" w:color="auto"/>
            </w:tcBorders>
          </w:tcPr>
          <w:p w:rsidR="008F182F" w:rsidRPr="00E93721" w:rsidRDefault="008F182F" w:rsidP="00116488">
            <w:pPr>
              <w:pStyle w:val="Normal-pool"/>
              <w:widowControl w:val="0"/>
              <w:spacing w:before="60" w:after="60"/>
              <w:rPr>
                <w:rFonts w:eastAsia="Batang"/>
                <w:lang w:eastAsia="ko-KR"/>
              </w:rPr>
            </w:pPr>
            <w:r w:rsidRPr="00E93721">
              <w:rPr>
                <w:rFonts w:eastAsia="Batang"/>
                <w:lang w:eastAsia="ko-KR"/>
              </w:rPr>
              <w:t>1. Review the inventory and categorization of existing Basel Convention documents related to environmentally sound management referred to in paragraph 14 of decision BC-12/1.</w:t>
            </w:r>
          </w:p>
          <w:p w:rsidR="008F182F" w:rsidRPr="00E93721" w:rsidRDefault="008F182F" w:rsidP="00116488">
            <w:pPr>
              <w:pStyle w:val="Normal-pool"/>
              <w:widowControl w:val="0"/>
              <w:spacing w:before="60" w:after="60"/>
              <w:rPr>
                <w:rFonts w:eastAsia="Batang"/>
                <w:lang w:eastAsia="ko-KR"/>
              </w:rPr>
            </w:pPr>
            <w:r w:rsidRPr="00E93721">
              <w:rPr>
                <w:rFonts w:eastAsia="Batang"/>
                <w:lang w:eastAsia="ko-KR"/>
              </w:rPr>
              <w:t xml:space="preserve">2. </w:t>
            </w:r>
            <w:r w:rsidRPr="00E93721">
              <w:rPr>
                <w:rFonts w:eastAsia="Calibri"/>
              </w:rPr>
              <w:t>Review the revised set of draft practical manuals and revised fact sheets referred to in paragraph 15 of decision BC-12/1.</w:t>
            </w:r>
          </w:p>
          <w:p w:rsidR="008F182F" w:rsidRPr="00E93721" w:rsidRDefault="008F182F" w:rsidP="00116488">
            <w:pPr>
              <w:pStyle w:val="Normal-pool"/>
              <w:widowControl w:val="0"/>
              <w:spacing w:before="60" w:after="60"/>
              <w:rPr>
                <w:rFonts w:eastAsia="Batang"/>
                <w:lang w:eastAsia="ko-KR"/>
              </w:rPr>
            </w:pPr>
            <w:r w:rsidRPr="00E93721">
              <w:rPr>
                <w:rFonts w:eastAsia="Batang"/>
                <w:lang w:eastAsia="ko-KR"/>
              </w:rPr>
              <w:t>3. Review the progress made in the implementation of the work programme of the expert working group on environmentally sound management.</w:t>
            </w:r>
          </w:p>
        </w:tc>
        <w:tc>
          <w:tcPr>
            <w:tcW w:w="2124" w:type="dxa"/>
            <w:tcBorders>
              <w:left w:val="single" w:sz="4" w:space="0" w:color="auto"/>
              <w:right w:val="single" w:sz="4" w:space="0" w:color="auto"/>
            </w:tcBorders>
            <w:shd w:val="clear" w:color="auto" w:fill="auto"/>
          </w:tcPr>
          <w:p w:rsidR="008F182F" w:rsidRPr="00E93721" w:rsidRDefault="008F182F" w:rsidP="00116488">
            <w:pPr>
              <w:pStyle w:val="Normal-pool"/>
              <w:widowControl w:val="0"/>
              <w:spacing w:before="60" w:after="60"/>
            </w:pPr>
            <w:r w:rsidRPr="00E93721">
              <w:t>Decision BC-12/1</w:t>
            </w:r>
          </w:p>
        </w:tc>
        <w:tc>
          <w:tcPr>
            <w:tcW w:w="999" w:type="dxa"/>
            <w:tcBorders>
              <w:left w:val="single" w:sz="4" w:space="0" w:color="auto"/>
              <w:right w:val="single" w:sz="4" w:space="0" w:color="auto"/>
            </w:tcBorders>
            <w:shd w:val="clear" w:color="auto" w:fill="auto"/>
          </w:tcPr>
          <w:p w:rsidR="008F182F" w:rsidRPr="00E93721" w:rsidRDefault="008F182F" w:rsidP="00116488">
            <w:pPr>
              <w:pStyle w:val="Normal-pool"/>
              <w:widowControl w:val="0"/>
              <w:spacing w:before="60" w:after="60"/>
            </w:pPr>
            <w:r w:rsidRPr="00E93721">
              <w:t>High</w:t>
            </w:r>
          </w:p>
          <w:p w:rsidR="008F182F" w:rsidRPr="00E93721" w:rsidRDefault="008F182F" w:rsidP="00116488">
            <w:pPr>
              <w:pStyle w:val="Normal-pool"/>
              <w:widowControl w:val="0"/>
              <w:spacing w:before="60" w:after="60"/>
            </w:pPr>
          </w:p>
          <w:p w:rsidR="008F182F" w:rsidRPr="00E93721" w:rsidRDefault="008F182F" w:rsidP="00116488">
            <w:pPr>
              <w:pStyle w:val="Normal-pool"/>
              <w:widowControl w:val="0"/>
              <w:spacing w:before="60" w:after="60"/>
            </w:pPr>
          </w:p>
          <w:p w:rsidR="008F182F" w:rsidRPr="00E93721" w:rsidRDefault="008F182F" w:rsidP="00116488">
            <w:pPr>
              <w:pStyle w:val="Normal-pool"/>
              <w:widowControl w:val="0"/>
              <w:spacing w:before="60" w:after="60"/>
            </w:pPr>
            <w:r w:rsidRPr="00E93721">
              <w:t>High</w:t>
            </w:r>
          </w:p>
          <w:p w:rsidR="008F182F" w:rsidRPr="00E93721" w:rsidRDefault="008F182F" w:rsidP="00116488">
            <w:pPr>
              <w:pStyle w:val="Normal-pool"/>
              <w:widowControl w:val="0"/>
              <w:spacing w:before="60" w:after="60"/>
            </w:pPr>
          </w:p>
          <w:p w:rsidR="008F182F" w:rsidRPr="00E93721" w:rsidRDefault="008F182F" w:rsidP="00116488">
            <w:pPr>
              <w:pStyle w:val="Normal-pool"/>
              <w:widowControl w:val="0"/>
              <w:spacing w:before="60" w:after="60"/>
            </w:pPr>
          </w:p>
          <w:p w:rsidR="008F182F" w:rsidRPr="00E93721" w:rsidRDefault="008F182F" w:rsidP="00116488">
            <w:pPr>
              <w:pStyle w:val="Normal-pool"/>
              <w:widowControl w:val="0"/>
              <w:spacing w:before="60" w:after="60"/>
            </w:pPr>
          </w:p>
          <w:p w:rsidR="008F182F" w:rsidRPr="00E93721" w:rsidRDefault="008F182F" w:rsidP="00116488">
            <w:pPr>
              <w:pStyle w:val="Normal-pool"/>
              <w:widowControl w:val="0"/>
              <w:spacing w:before="60" w:after="60"/>
            </w:pPr>
            <w:r w:rsidRPr="00E93721">
              <w:t>High</w:t>
            </w:r>
          </w:p>
        </w:tc>
      </w:tr>
      <w:tr w:rsidR="008F182F" w:rsidRPr="00E93721" w:rsidTr="00116488">
        <w:trPr>
          <w:trHeight w:val="884"/>
        </w:trPr>
        <w:tc>
          <w:tcPr>
            <w:tcW w:w="1695" w:type="dxa"/>
            <w:tcBorders>
              <w:left w:val="single" w:sz="4" w:space="0" w:color="auto"/>
              <w:right w:val="single" w:sz="4" w:space="0" w:color="auto"/>
            </w:tcBorders>
            <w:shd w:val="clear" w:color="auto" w:fill="auto"/>
          </w:tcPr>
          <w:p w:rsidR="008F182F" w:rsidRPr="00E93721" w:rsidRDefault="008F182F" w:rsidP="00116488">
            <w:pPr>
              <w:pStyle w:val="Normal-pool"/>
              <w:widowControl w:val="0"/>
              <w:spacing w:before="60" w:after="60"/>
            </w:pPr>
            <w:r w:rsidRPr="00E93721">
              <w:t>C. Strategic framework</w:t>
            </w:r>
          </w:p>
        </w:tc>
        <w:tc>
          <w:tcPr>
            <w:tcW w:w="3686" w:type="dxa"/>
            <w:tcBorders>
              <w:top w:val="single" w:sz="4" w:space="0" w:color="auto"/>
              <w:left w:val="single" w:sz="4" w:space="0" w:color="auto"/>
              <w:right w:val="single" w:sz="4" w:space="0" w:color="auto"/>
            </w:tcBorders>
          </w:tcPr>
          <w:p w:rsidR="008F182F" w:rsidRPr="00E93721" w:rsidRDefault="008F182F" w:rsidP="00116488">
            <w:pPr>
              <w:pStyle w:val="Normal-pool"/>
              <w:widowControl w:val="0"/>
              <w:spacing w:before="60" w:after="60"/>
              <w:rPr>
                <w:rFonts w:eastAsia="Batang"/>
                <w:lang w:eastAsia="ko-KR"/>
              </w:rPr>
            </w:pPr>
            <w:r w:rsidRPr="00E93721">
              <w:rPr>
                <w:rFonts w:eastAsia="Batang"/>
                <w:lang w:eastAsia="ko-KR"/>
              </w:rPr>
              <w:t>Review the progress report on the preparation of the mid-term evaluation of the strategic framework.</w:t>
            </w:r>
          </w:p>
        </w:tc>
        <w:tc>
          <w:tcPr>
            <w:tcW w:w="2124" w:type="dxa"/>
            <w:tcBorders>
              <w:left w:val="single" w:sz="4" w:space="0" w:color="auto"/>
              <w:right w:val="single" w:sz="4" w:space="0" w:color="auto"/>
            </w:tcBorders>
            <w:shd w:val="clear" w:color="auto" w:fill="auto"/>
          </w:tcPr>
          <w:p w:rsidR="008F182F" w:rsidRPr="00E93721" w:rsidRDefault="008F182F" w:rsidP="00116488">
            <w:pPr>
              <w:pStyle w:val="Normal-pool"/>
              <w:widowControl w:val="0"/>
              <w:spacing w:before="60" w:after="60"/>
            </w:pPr>
            <w:r w:rsidRPr="00E93721">
              <w:t>Decision BC-10/2</w:t>
            </w:r>
          </w:p>
          <w:p w:rsidR="008F182F" w:rsidRPr="00E93721" w:rsidRDefault="008F182F" w:rsidP="00116488">
            <w:pPr>
              <w:pStyle w:val="Normal-pool"/>
              <w:widowControl w:val="0"/>
              <w:spacing w:before="60" w:after="60"/>
            </w:pPr>
            <w:r w:rsidRPr="00E93721">
              <w:t>Report of the twelfth meeting of the Conference of the Parties</w:t>
            </w:r>
          </w:p>
        </w:tc>
        <w:tc>
          <w:tcPr>
            <w:tcW w:w="999" w:type="dxa"/>
            <w:tcBorders>
              <w:left w:val="single" w:sz="4" w:space="0" w:color="auto"/>
              <w:right w:val="single" w:sz="4" w:space="0" w:color="auto"/>
            </w:tcBorders>
            <w:shd w:val="clear" w:color="auto" w:fill="auto"/>
          </w:tcPr>
          <w:p w:rsidR="008F182F" w:rsidRPr="00E93721" w:rsidRDefault="008F182F" w:rsidP="00116488">
            <w:pPr>
              <w:pStyle w:val="Normal-pool"/>
              <w:widowControl w:val="0"/>
              <w:spacing w:before="60" w:after="60"/>
            </w:pPr>
            <w:r w:rsidRPr="00E93721">
              <w:t>Medium</w:t>
            </w:r>
          </w:p>
        </w:tc>
      </w:tr>
      <w:tr w:rsidR="008F182F" w:rsidRPr="00E93721" w:rsidTr="00116488">
        <w:trPr>
          <w:trHeight w:val="20"/>
        </w:trPr>
        <w:tc>
          <w:tcPr>
            <w:tcW w:w="8504" w:type="dxa"/>
            <w:gridSpan w:val="4"/>
            <w:tcBorders>
              <w:top w:val="single" w:sz="4" w:space="0" w:color="auto"/>
              <w:left w:val="single" w:sz="4" w:space="0" w:color="auto"/>
              <w:right w:val="single" w:sz="4" w:space="0" w:color="auto"/>
            </w:tcBorders>
          </w:tcPr>
          <w:p w:rsidR="008F182F" w:rsidRPr="00E93721" w:rsidRDefault="008F182F" w:rsidP="00116488">
            <w:pPr>
              <w:pStyle w:val="CH3"/>
              <w:keepNext w:val="0"/>
              <w:keepLines w:val="0"/>
              <w:widowControl w:val="0"/>
              <w:tabs>
                <w:tab w:val="clear" w:pos="851"/>
                <w:tab w:val="clear" w:pos="1247"/>
                <w:tab w:val="clear" w:pos="1814"/>
                <w:tab w:val="clear" w:pos="2381"/>
                <w:tab w:val="clear" w:pos="2948"/>
                <w:tab w:val="clear" w:pos="3515"/>
                <w:tab w:val="left" w:pos="540"/>
              </w:tabs>
              <w:suppressAutoHyphens w:val="0"/>
              <w:spacing w:before="60" w:after="60"/>
              <w:ind w:left="539" w:hanging="539"/>
              <w:rPr>
                <w:b w:val="0"/>
              </w:rPr>
            </w:pPr>
            <w:r w:rsidRPr="00E93721">
              <w:t>II. Scientific and technical matters</w:t>
            </w:r>
          </w:p>
        </w:tc>
      </w:tr>
      <w:tr w:rsidR="008F182F" w:rsidRPr="00E93721" w:rsidTr="00116488">
        <w:trPr>
          <w:trHeight w:val="20"/>
        </w:trPr>
        <w:tc>
          <w:tcPr>
            <w:tcW w:w="1695" w:type="dxa"/>
            <w:vMerge w:val="restart"/>
            <w:tcBorders>
              <w:top w:val="single" w:sz="4" w:space="0" w:color="auto"/>
              <w:left w:val="single" w:sz="4" w:space="0" w:color="auto"/>
              <w:right w:val="single" w:sz="4" w:space="0" w:color="auto"/>
            </w:tcBorders>
          </w:tcPr>
          <w:p w:rsidR="008F182F" w:rsidRPr="00E93721" w:rsidRDefault="008F182F" w:rsidP="00116488">
            <w:pPr>
              <w:pStyle w:val="CH3"/>
              <w:keepNext w:val="0"/>
              <w:keepLines w:val="0"/>
              <w:widowControl w:val="0"/>
              <w:tabs>
                <w:tab w:val="clear" w:pos="851"/>
                <w:tab w:val="clear" w:pos="1247"/>
                <w:tab w:val="clear" w:pos="1814"/>
                <w:tab w:val="clear" w:pos="2381"/>
                <w:tab w:val="clear" w:pos="2948"/>
                <w:tab w:val="clear" w:pos="3515"/>
                <w:tab w:val="left" w:pos="540"/>
              </w:tabs>
              <w:suppressAutoHyphens w:val="0"/>
              <w:spacing w:before="60" w:after="60"/>
              <w:ind w:left="0" w:right="0" w:firstLine="0"/>
              <w:rPr>
                <w:b w:val="0"/>
              </w:rPr>
            </w:pPr>
            <w:r w:rsidRPr="00E93721">
              <w:rPr>
                <w:b w:val="0"/>
              </w:rPr>
              <w:t>A. Technical guidelines</w:t>
            </w:r>
          </w:p>
        </w:tc>
        <w:tc>
          <w:tcPr>
            <w:tcW w:w="3686" w:type="dxa"/>
            <w:tcBorders>
              <w:top w:val="single" w:sz="4" w:space="0" w:color="auto"/>
              <w:left w:val="single" w:sz="4" w:space="0" w:color="auto"/>
              <w:bottom w:val="single" w:sz="4" w:space="0" w:color="auto"/>
              <w:right w:val="single" w:sz="4" w:space="0" w:color="auto"/>
            </w:tcBorders>
          </w:tcPr>
          <w:p w:rsidR="008F182F" w:rsidRPr="00E93721" w:rsidRDefault="008F182F" w:rsidP="00116488">
            <w:pPr>
              <w:pStyle w:val="Normal-pool"/>
              <w:keepNext/>
              <w:keepLines/>
              <w:widowControl w:val="0"/>
              <w:tabs>
                <w:tab w:val="clear" w:pos="1247"/>
                <w:tab w:val="clear" w:pos="1814"/>
                <w:tab w:val="clear" w:pos="2381"/>
                <w:tab w:val="clear" w:pos="2948"/>
                <w:tab w:val="clear" w:pos="3515"/>
              </w:tabs>
              <w:snapToGrid w:val="0"/>
              <w:spacing w:before="60" w:after="60"/>
            </w:pPr>
            <w:r w:rsidRPr="00E93721">
              <w:t>1. Undertake work towards a review of all provisional low persistent organic pollutant content values in the technical guidelines referred to in paragraph 2 of decision BC-12/3.</w:t>
            </w:r>
          </w:p>
          <w:p w:rsidR="008F182F" w:rsidRPr="00E93721" w:rsidRDefault="008F182F" w:rsidP="00116488">
            <w:pPr>
              <w:pStyle w:val="Normal-pool"/>
              <w:keepNext/>
              <w:keepLines/>
              <w:widowControl w:val="0"/>
              <w:snapToGrid w:val="0"/>
              <w:spacing w:before="60" w:after="120"/>
            </w:pPr>
            <w:r w:rsidRPr="00E93721">
              <w:t xml:space="preserve">2. Update the general technical guidelines for the environmentally sound management of wastes consisting of, containing or contaminated with persistent organic pollutants and prepare or update specific technical guidelines </w:t>
            </w:r>
            <w:r w:rsidRPr="00E93721">
              <w:rPr>
                <w:lang w:eastAsia="de-DE"/>
              </w:rPr>
              <w:t>with regard to the chemicals listed in Annexes A and C to the Stockholm Convention by decisions SC-7/12–SC-7/14 of the Conference of the Parties to the Stockholm Convention</w:t>
            </w:r>
            <w:r w:rsidRPr="00E93721">
              <w:t>, including the following:</w:t>
            </w:r>
          </w:p>
          <w:p w:rsidR="008F182F" w:rsidRPr="00E93721" w:rsidRDefault="008F182F" w:rsidP="008F182F">
            <w:pPr>
              <w:pStyle w:val="Normal-pool"/>
              <w:keepNext/>
              <w:keepLines/>
              <w:widowControl w:val="0"/>
              <w:numPr>
                <w:ilvl w:val="0"/>
                <w:numId w:val="1"/>
              </w:numPr>
              <w:tabs>
                <w:tab w:val="clear" w:pos="1247"/>
                <w:tab w:val="clear" w:pos="1814"/>
                <w:tab w:val="clear" w:pos="2381"/>
                <w:tab w:val="clear" w:pos="2948"/>
                <w:tab w:val="clear" w:pos="3515"/>
              </w:tabs>
              <w:snapToGrid w:val="0"/>
              <w:spacing w:before="60" w:after="60"/>
              <w:ind w:left="476" w:hanging="438"/>
            </w:pPr>
            <w:r w:rsidRPr="00E93721">
              <w:lastRenderedPageBreak/>
              <w:t>Establishment of levels of destruction and irreversible transformation for the chemicals necessary to ensure that when disposed of they do not exhibit the characteristics of persistent organic pollutants specified in paragraph 1 of Annex D to the Stockholm Convention;</w:t>
            </w:r>
          </w:p>
          <w:p w:rsidR="008F182F" w:rsidRPr="00E93721" w:rsidRDefault="008F182F" w:rsidP="008F182F">
            <w:pPr>
              <w:pStyle w:val="Normal-pool"/>
              <w:keepNext/>
              <w:keepLines/>
              <w:widowControl w:val="0"/>
              <w:numPr>
                <w:ilvl w:val="0"/>
                <w:numId w:val="1"/>
              </w:numPr>
              <w:tabs>
                <w:tab w:val="clear" w:pos="1247"/>
                <w:tab w:val="clear" w:pos="1814"/>
                <w:tab w:val="clear" w:pos="2381"/>
                <w:tab w:val="clear" w:pos="2948"/>
                <w:tab w:val="clear" w:pos="3515"/>
              </w:tabs>
              <w:snapToGrid w:val="0"/>
              <w:spacing w:before="60" w:after="60"/>
              <w:ind w:left="476" w:hanging="438"/>
            </w:pPr>
            <w:r w:rsidRPr="00E93721">
              <w:t>Determination of which disposal methods constitute environmentally sound disposal as referred to in paragraph 1 (d) (ii) of Article 6 of the Stockholm Convention;</w:t>
            </w:r>
          </w:p>
          <w:p w:rsidR="008F182F" w:rsidRPr="00E93721" w:rsidRDefault="008F182F" w:rsidP="008F182F">
            <w:pPr>
              <w:pStyle w:val="Normal-pool"/>
              <w:keepNext/>
              <w:keepLines/>
              <w:widowControl w:val="0"/>
              <w:numPr>
                <w:ilvl w:val="0"/>
                <w:numId w:val="1"/>
              </w:numPr>
              <w:tabs>
                <w:tab w:val="clear" w:pos="1247"/>
                <w:tab w:val="clear" w:pos="1814"/>
                <w:tab w:val="clear" w:pos="2381"/>
                <w:tab w:val="clear" w:pos="2948"/>
                <w:tab w:val="clear" w:pos="3515"/>
              </w:tabs>
              <w:snapToGrid w:val="0"/>
              <w:spacing w:before="60" w:after="60"/>
              <w:ind w:left="476" w:hanging="438"/>
            </w:pPr>
            <w:r w:rsidRPr="00E93721">
              <w:t>Establishment, as appropriate, of the concentration levels of the chemicals in order to define for the Stockholm Convention low persistent organic pollutant content as referred to in paragraph 1 (d) (ii) of Article 6 of the Convention.</w:t>
            </w:r>
          </w:p>
        </w:tc>
        <w:tc>
          <w:tcPr>
            <w:tcW w:w="2124" w:type="dxa"/>
            <w:tcBorders>
              <w:top w:val="single" w:sz="4" w:space="0" w:color="auto"/>
              <w:left w:val="single" w:sz="4" w:space="0" w:color="auto"/>
              <w:bottom w:val="single" w:sz="4" w:space="0" w:color="auto"/>
              <w:right w:val="single" w:sz="4" w:space="0" w:color="auto"/>
            </w:tcBorders>
          </w:tcPr>
          <w:p w:rsidR="008F182F" w:rsidRPr="00E93721" w:rsidRDefault="008F182F" w:rsidP="00116488">
            <w:pPr>
              <w:pStyle w:val="CH3"/>
              <w:keepNext w:val="0"/>
              <w:keepLines w:val="0"/>
              <w:widowControl w:val="0"/>
              <w:tabs>
                <w:tab w:val="clear" w:pos="851"/>
                <w:tab w:val="clear" w:pos="1247"/>
                <w:tab w:val="clear" w:pos="1814"/>
                <w:tab w:val="clear" w:pos="2381"/>
                <w:tab w:val="clear" w:pos="2948"/>
                <w:tab w:val="clear" w:pos="3515"/>
              </w:tabs>
              <w:suppressAutoHyphens w:val="0"/>
              <w:spacing w:before="60" w:after="60"/>
              <w:ind w:left="30" w:hanging="30"/>
            </w:pPr>
            <w:r w:rsidRPr="00E93721">
              <w:rPr>
                <w:b w:val="0"/>
              </w:rPr>
              <w:lastRenderedPageBreak/>
              <w:t>Decision BC-12/3</w:t>
            </w:r>
          </w:p>
        </w:tc>
        <w:tc>
          <w:tcPr>
            <w:tcW w:w="999" w:type="dxa"/>
            <w:tcBorders>
              <w:top w:val="single" w:sz="4" w:space="0" w:color="auto"/>
              <w:left w:val="single" w:sz="4" w:space="0" w:color="auto"/>
              <w:bottom w:val="single" w:sz="4" w:space="0" w:color="auto"/>
              <w:right w:val="single" w:sz="4" w:space="0" w:color="auto"/>
            </w:tcBorders>
          </w:tcPr>
          <w:p w:rsidR="008F182F" w:rsidRPr="00E93721" w:rsidRDefault="008F182F" w:rsidP="00116488">
            <w:pPr>
              <w:pStyle w:val="Normal-pool"/>
              <w:widowControl w:val="0"/>
              <w:spacing w:before="60" w:after="60"/>
            </w:pPr>
            <w:r w:rsidRPr="00E93721">
              <w:t>High</w:t>
            </w:r>
          </w:p>
          <w:p w:rsidR="008F182F" w:rsidRPr="00E93721" w:rsidRDefault="008F182F" w:rsidP="00116488">
            <w:pPr>
              <w:pStyle w:val="Normal-pool"/>
              <w:widowControl w:val="0"/>
              <w:spacing w:before="60" w:after="60"/>
            </w:pPr>
          </w:p>
          <w:p w:rsidR="008F182F" w:rsidRPr="00E93721" w:rsidRDefault="008F182F" w:rsidP="00116488">
            <w:pPr>
              <w:pStyle w:val="Normal-pool"/>
              <w:widowControl w:val="0"/>
              <w:spacing w:before="60" w:after="60"/>
            </w:pPr>
          </w:p>
          <w:p w:rsidR="008F182F" w:rsidRPr="00E93721" w:rsidRDefault="008F182F" w:rsidP="00116488">
            <w:pPr>
              <w:pStyle w:val="Normal-pool"/>
              <w:widowControl w:val="0"/>
              <w:spacing w:before="60" w:after="60"/>
            </w:pPr>
          </w:p>
          <w:p w:rsidR="008F182F" w:rsidRPr="00E93721" w:rsidRDefault="008F182F" w:rsidP="00116488">
            <w:pPr>
              <w:pStyle w:val="Normal-pool"/>
              <w:widowControl w:val="0"/>
              <w:spacing w:before="60" w:after="60"/>
            </w:pPr>
            <w:r w:rsidRPr="00E93721">
              <w:t>High</w:t>
            </w:r>
          </w:p>
        </w:tc>
      </w:tr>
      <w:tr w:rsidR="008F182F" w:rsidRPr="00E93721" w:rsidTr="00116488">
        <w:trPr>
          <w:trHeight w:val="20"/>
        </w:trPr>
        <w:tc>
          <w:tcPr>
            <w:tcW w:w="1695" w:type="dxa"/>
            <w:vMerge/>
            <w:tcBorders>
              <w:top w:val="single" w:sz="4" w:space="0" w:color="auto"/>
              <w:left w:val="single" w:sz="4" w:space="0" w:color="auto"/>
              <w:right w:val="single" w:sz="4" w:space="0" w:color="auto"/>
            </w:tcBorders>
          </w:tcPr>
          <w:p w:rsidR="008F182F" w:rsidRPr="00E93721" w:rsidRDefault="008F182F" w:rsidP="00116488">
            <w:pPr>
              <w:pStyle w:val="CH3"/>
              <w:keepNext w:val="0"/>
              <w:keepLines w:val="0"/>
              <w:widowControl w:val="0"/>
              <w:tabs>
                <w:tab w:val="clear" w:pos="851"/>
                <w:tab w:val="clear" w:pos="1247"/>
                <w:tab w:val="clear" w:pos="1814"/>
                <w:tab w:val="clear" w:pos="2381"/>
                <w:tab w:val="clear" w:pos="2948"/>
                <w:tab w:val="clear" w:pos="3515"/>
                <w:tab w:val="left" w:pos="540"/>
              </w:tabs>
              <w:suppressAutoHyphens w:val="0"/>
              <w:spacing w:before="60" w:after="60"/>
              <w:ind w:left="0" w:right="0" w:firstLine="0"/>
              <w:rPr>
                <w:b w:val="0"/>
              </w:rPr>
            </w:pPr>
          </w:p>
        </w:tc>
        <w:tc>
          <w:tcPr>
            <w:tcW w:w="3686" w:type="dxa"/>
            <w:tcBorders>
              <w:top w:val="single" w:sz="4" w:space="0" w:color="auto"/>
              <w:left w:val="single" w:sz="4" w:space="0" w:color="auto"/>
              <w:bottom w:val="single" w:sz="4" w:space="0" w:color="auto"/>
              <w:right w:val="single" w:sz="4" w:space="0" w:color="auto"/>
            </w:tcBorders>
          </w:tcPr>
          <w:p w:rsidR="008F182F" w:rsidRPr="00E93721" w:rsidRDefault="008F182F" w:rsidP="00116488">
            <w:pPr>
              <w:pStyle w:val="Normal-pool"/>
              <w:keepNext/>
              <w:keepLines/>
              <w:widowControl w:val="0"/>
              <w:tabs>
                <w:tab w:val="clear" w:pos="1247"/>
                <w:tab w:val="clear" w:pos="1814"/>
                <w:tab w:val="clear" w:pos="2381"/>
                <w:tab w:val="clear" w:pos="2948"/>
                <w:tab w:val="clear" w:pos="3515"/>
              </w:tabs>
              <w:snapToGrid w:val="0"/>
              <w:spacing w:before="60" w:after="60"/>
            </w:pPr>
            <w:r w:rsidRPr="00E93721">
              <w:t>2. Further elaboration of work on guidance on the distinction between waste and non</w:t>
            </w:r>
            <w:r w:rsidRPr="00E93721">
              <w:noBreakHyphen/>
            </w:r>
            <w:proofErr w:type="spellStart"/>
            <w:r w:rsidRPr="00E93721">
              <w:t>waste</w:t>
            </w:r>
            <w:proofErr w:type="spellEnd"/>
            <w:r w:rsidRPr="00E93721">
              <w:t xml:space="preserve"> in order to prepare draft revised technical guidelines on </w:t>
            </w:r>
            <w:proofErr w:type="spellStart"/>
            <w:r w:rsidRPr="00E93721">
              <w:t>transboundary</w:t>
            </w:r>
            <w:proofErr w:type="spellEnd"/>
            <w:r w:rsidRPr="00E93721">
              <w:t xml:space="preserve"> movements of electrical and electronic waste and used electrical and electronic equipment, in particular regarding the distinction between waste and non-waste under the Basel Convention.</w:t>
            </w:r>
          </w:p>
        </w:tc>
        <w:tc>
          <w:tcPr>
            <w:tcW w:w="2124" w:type="dxa"/>
            <w:tcBorders>
              <w:top w:val="single" w:sz="4" w:space="0" w:color="auto"/>
              <w:left w:val="single" w:sz="4" w:space="0" w:color="auto"/>
              <w:bottom w:val="single" w:sz="4" w:space="0" w:color="auto"/>
              <w:right w:val="single" w:sz="4" w:space="0" w:color="auto"/>
            </w:tcBorders>
          </w:tcPr>
          <w:p w:rsidR="008F182F" w:rsidRPr="00E93721" w:rsidRDefault="008F182F" w:rsidP="00116488">
            <w:pPr>
              <w:pStyle w:val="CH3"/>
              <w:keepNext w:val="0"/>
              <w:widowControl w:val="0"/>
              <w:tabs>
                <w:tab w:val="clear" w:pos="1247"/>
                <w:tab w:val="clear" w:pos="1814"/>
                <w:tab w:val="clear" w:pos="2381"/>
                <w:tab w:val="clear" w:pos="2948"/>
                <w:tab w:val="clear" w:pos="3515"/>
              </w:tabs>
              <w:spacing w:before="60" w:after="60"/>
              <w:rPr>
                <w:b w:val="0"/>
              </w:rPr>
            </w:pPr>
            <w:r w:rsidRPr="00E93721">
              <w:rPr>
                <w:b w:val="0"/>
              </w:rPr>
              <w:t>Decision BC-12/5</w:t>
            </w:r>
          </w:p>
        </w:tc>
        <w:tc>
          <w:tcPr>
            <w:tcW w:w="999" w:type="dxa"/>
            <w:tcBorders>
              <w:top w:val="single" w:sz="4" w:space="0" w:color="auto"/>
              <w:left w:val="single" w:sz="4" w:space="0" w:color="auto"/>
              <w:bottom w:val="single" w:sz="4" w:space="0" w:color="auto"/>
              <w:right w:val="single" w:sz="4" w:space="0" w:color="auto"/>
            </w:tcBorders>
          </w:tcPr>
          <w:p w:rsidR="008F182F" w:rsidRPr="00E93721" w:rsidRDefault="008F182F" w:rsidP="00116488">
            <w:pPr>
              <w:pStyle w:val="Normal-pool"/>
              <w:widowControl w:val="0"/>
              <w:spacing w:before="60" w:after="60"/>
            </w:pPr>
            <w:r w:rsidRPr="00E93721">
              <w:t>High</w:t>
            </w:r>
          </w:p>
        </w:tc>
      </w:tr>
      <w:tr w:rsidR="008F182F" w:rsidRPr="00E93721" w:rsidTr="00116488">
        <w:trPr>
          <w:trHeight w:val="20"/>
        </w:trPr>
        <w:tc>
          <w:tcPr>
            <w:tcW w:w="1695" w:type="dxa"/>
            <w:vMerge/>
            <w:tcBorders>
              <w:left w:val="single" w:sz="4" w:space="0" w:color="auto"/>
              <w:right w:val="single" w:sz="4" w:space="0" w:color="auto"/>
            </w:tcBorders>
          </w:tcPr>
          <w:p w:rsidR="008F182F" w:rsidRPr="00E93721" w:rsidRDefault="008F182F" w:rsidP="00116488">
            <w:pPr>
              <w:pStyle w:val="CH3"/>
              <w:keepNext w:val="0"/>
              <w:keepLines w:val="0"/>
              <w:widowControl w:val="0"/>
              <w:tabs>
                <w:tab w:val="clear" w:pos="851"/>
                <w:tab w:val="clear" w:pos="1247"/>
                <w:tab w:val="clear" w:pos="1814"/>
                <w:tab w:val="clear" w:pos="2381"/>
                <w:tab w:val="clear" w:pos="2948"/>
                <w:tab w:val="clear" w:pos="3515"/>
                <w:tab w:val="left" w:pos="540"/>
              </w:tabs>
              <w:suppressAutoHyphens w:val="0"/>
              <w:spacing w:before="60" w:after="60"/>
              <w:ind w:left="0" w:right="0" w:firstLine="0"/>
              <w:rPr>
                <w:b w:val="0"/>
              </w:rPr>
            </w:pPr>
          </w:p>
        </w:tc>
        <w:tc>
          <w:tcPr>
            <w:tcW w:w="3686" w:type="dxa"/>
            <w:tcBorders>
              <w:top w:val="single" w:sz="4" w:space="0" w:color="auto"/>
              <w:left w:val="single" w:sz="4" w:space="0" w:color="auto"/>
              <w:bottom w:val="single" w:sz="4" w:space="0" w:color="auto"/>
              <w:right w:val="single" w:sz="4" w:space="0" w:color="auto"/>
            </w:tcBorders>
          </w:tcPr>
          <w:p w:rsidR="008F182F" w:rsidRPr="00E93721" w:rsidRDefault="008F182F" w:rsidP="00116488">
            <w:pPr>
              <w:keepNext/>
              <w:keepLines/>
              <w:widowControl w:val="0"/>
              <w:snapToGrid w:val="0"/>
              <w:spacing w:before="60" w:after="120"/>
            </w:pPr>
            <w:r w:rsidRPr="00E93721">
              <w:t xml:space="preserve">3. Consider whether the technical guidelines on incineration on land, specially engineered landfill and hazardous waste </w:t>
            </w:r>
            <w:proofErr w:type="spellStart"/>
            <w:r w:rsidRPr="00E93721">
              <w:t>physico</w:t>
            </w:r>
            <w:proofErr w:type="spellEnd"/>
            <w:r w:rsidRPr="00E93721">
              <w:t>-chemical treatment should be updated.</w:t>
            </w:r>
          </w:p>
        </w:tc>
        <w:tc>
          <w:tcPr>
            <w:tcW w:w="2124" w:type="dxa"/>
            <w:tcBorders>
              <w:top w:val="single" w:sz="4" w:space="0" w:color="auto"/>
              <w:left w:val="single" w:sz="4" w:space="0" w:color="auto"/>
              <w:bottom w:val="single" w:sz="4" w:space="0" w:color="auto"/>
              <w:right w:val="single" w:sz="4" w:space="0" w:color="auto"/>
            </w:tcBorders>
          </w:tcPr>
          <w:p w:rsidR="008F182F" w:rsidRPr="00E93721" w:rsidRDefault="008F182F" w:rsidP="00116488">
            <w:pPr>
              <w:pStyle w:val="CH3"/>
              <w:keepNext w:val="0"/>
              <w:keepLines w:val="0"/>
              <w:widowControl w:val="0"/>
              <w:tabs>
                <w:tab w:val="clear" w:pos="851"/>
                <w:tab w:val="clear" w:pos="1247"/>
                <w:tab w:val="clear" w:pos="1814"/>
                <w:tab w:val="clear" w:pos="2381"/>
                <w:tab w:val="clear" w:pos="2948"/>
                <w:tab w:val="clear" w:pos="3515"/>
              </w:tabs>
              <w:suppressAutoHyphens w:val="0"/>
              <w:spacing w:before="60" w:after="60"/>
              <w:ind w:left="30" w:firstLine="1"/>
              <w:rPr>
                <w:b w:val="0"/>
              </w:rPr>
            </w:pPr>
            <w:r w:rsidRPr="00E93721">
              <w:rPr>
                <w:b w:val="0"/>
              </w:rPr>
              <w:t>Report of the twelfth meeting of the Conference of the Parties</w:t>
            </w:r>
          </w:p>
        </w:tc>
        <w:tc>
          <w:tcPr>
            <w:tcW w:w="999" w:type="dxa"/>
            <w:tcBorders>
              <w:top w:val="single" w:sz="4" w:space="0" w:color="auto"/>
              <w:left w:val="single" w:sz="4" w:space="0" w:color="auto"/>
              <w:bottom w:val="single" w:sz="4" w:space="0" w:color="auto"/>
              <w:right w:val="single" w:sz="4" w:space="0" w:color="auto"/>
            </w:tcBorders>
          </w:tcPr>
          <w:p w:rsidR="008F182F" w:rsidRPr="00E93721" w:rsidRDefault="008F182F" w:rsidP="00116488">
            <w:pPr>
              <w:pStyle w:val="Normal-pool"/>
              <w:widowControl w:val="0"/>
              <w:spacing w:before="60" w:after="60"/>
            </w:pPr>
            <w:r w:rsidRPr="00E93721">
              <w:t>High</w:t>
            </w:r>
          </w:p>
        </w:tc>
      </w:tr>
      <w:tr w:rsidR="008F182F" w:rsidRPr="00E93721" w:rsidTr="00116488">
        <w:trPr>
          <w:trHeight w:val="20"/>
        </w:trPr>
        <w:tc>
          <w:tcPr>
            <w:tcW w:w="1695" w:type="dxa"/>
            <w:tcBorders>
              <w:top w:val="single" w:sz="4" w:space="0" w:color="auto"/>
              <w:left w:val="single" w:sz="4" w:space="0" w:color="auto"/>
              <w:right w:val="single" w:sz="4" w:space="0" w:color="auto"/>
            </w:tcBorders>
          </w:tcPr>
          <w:p w:rsidR="008F182F" w:rsidRPr="00E93721" w:rsidRDefault="008F182F" w:rsidP="00116488">
            <w:pPr>
              <w:pStyle w:val="Normal-pool"/>
              <w:keepNext/>
              <w:keepLines/>
              <w:widowControl w:val="0"/>
              <w:spacing w:before="60" w:after="60"/>
            </w:pPr>
            <w:r w:rsidRPr="00E93721">
              <w:t>B. Amendments to the annexes to the Basel Convention</w:t>
            </w:r>
          </w:p>
        </w:tc>
        <w:tc>
          <w:tcPr>
            <w:tcW w:w="3686" w:type="dxa"/>
            <w:tcBorders>
              <w:top w:val="single" w:sz="4" w:space="0" w:color="auto"/>
              <w:left w:val="single" w:sz="4" w:space="0" w:color="auto"/>
              <w:bottom w:val="single" w:sz="4" w:space="0" w:color="auto"/>
              <w:right w:val="single" w:sz="4" w:space="0" w:color="auto"/>
            </w:tcBorders>
          </w:tcPr>
          <w:p w:rsidR="008F182F" w:rsidRPr="00E93721" w:rsidRDefault="008F182F" w:rsidP="00116488">
            <w:pPr>
              <w:pStyle w:val="Normal-pool"/>
              <w:keepNext/>
              <w:keepLines/>
              <w:widowControl w:val="0"/>
              <w:spacing w:before="60"/>
            </w:pPr>
            <w:r w:rsidRPr="00E93721">
              <w:t>Consider and review any applications for changes and any corrections to the list of wastes in Annexes VIII and IX to the Convention.</w:t>
            </w:r>
          </w:p>
        </w:tc>
        <w:tc>
          <w:tcPr>
            <w:tcW w:w="2124" w:type="dxa"/>
            <w:tcBorders>
              <w:top w:val="single" w:sz="4" w:space="0" w:color="auto"/>
              <w:left w:val="single" w:sz="4" w:space="0" w:color="auto"/>
              <w:bottom w:val="single" w:sz="4" w:space="0" w:color="auto"/>
              <w:right w:val="single" w:sz="4" w:space="0" w:color="auto"/>
            </w:tcBorders>
          </w:tcPr>
          <w:p w:rsidR="008F182F" w:rsidRPr="00E93721" w:rsidRDefault="008F182F" w:rsidP="00116488">
            <w:pPr>
              <w:pStyle w:val="Normal-pool"/>
              <w:widowControl w:val="0"/>
              <w:spacing w:before="60" w:after="60"/>
            </w:pPr>
            <w:r w:rsidRPr="00E93721">
              <w:t>Decision VIII/15</w:t>
            </w:r>
          </w:p>
        </w:tc>
        <w:tc>
          <w:tcPr>
            <w:tcW w:w="999" w:type="dxa"/>
            <w:tcBorders>
              <w:top w:val="single" w:sz="4" w:space="0" w:color="auto"/>
              <w:left w:val="single" w:sz="4" w:space="0" w:color="auto"/>
              <w:bottom w:val="single" w:sz="4" w:space="0" w:color="auto"/>
              <w:right w:val="single" w:sz="4" w:space="0" w:color="auto"/>
            </w:tcBorders>
          </w:tcPr>
          <w:p w:rsidR="008F182F" w:rsidRPr="00E93721" w:rsidRDefault="008F182F" w:rsidP="00116488">
            <w:pPr>
              <w:pStyle w:val="Normal-pool"/>
              <w:widowControl w:val="0"/>
              <w:spacing w:before="60" w:after="60"/>
            </w:pPr>
            <w:r w:rsidRPr="00E93721">
              <w:t>High</w:t>
            </w:r>
          </w:p>
        </w:tc>
      </w:tr>
      <w:tr w:rsidR="008F182F" w:rsidRPr="00E93721" w:rsidTr="00116488">
        <w:trPr>
          <w:trHeight w:val="20"/>
        </w:trPr>
        <w:tc>
          <w:tcPr>
            <w:tcW w:w="1695" w:type="dxa"/>
            <w:tcBorders>
              <w:top w:val="single" w:sz="4" w:space="0" w:color="auto"/>
              <w:left w:val="single" w:sz="4" w:space="0" w:color="auto"/>
              <w:bottom w:val="single" w:sz="4" w:space="0" w:color="auto"/>
              <w:right w:val="single" w:sz="4" w:space="0" w:color="auto"/>
            </w:tcBorders>
          </w:tcPr>
          <w:p w:rsidR="008F182F" w:rsidRPr="00E93721" w:rsidRDefault="008F182F" w:rsidP="00116488">
            <w:pPr>
              <w:pStyle w:val="Normal-pool"/>
              <w:widowControl w:val="0"/>
              <w:spacing w:before="60" w:after="60"/>
            </w:pPr>
            <w:r w:rsidRPr="00E93721">
              <w:t>C. National reporting</w:t>
            </w:r>
          </w:p>
        </w:tc>
        <w:tc>
          <w:tcPr>
            <w:tcW w:w="3686" w:type="dxa"/>
            <w:tcBorders>
              <w:top w:val="single" w:sz="4" w:space="0" w:color="auto"/>
              <w:left w:val="single" w:sz="4" w:space="0" w:color="auto"/>
              <w:bottom w:val="single" w:sz="4" w:space="0" w:color="auto"/>
              <w:right w:val="single" w:sz="4" w:space="0" w:color="auto"/>
            </w:tcBorders>
          </w:tcPr>
          <w:p w:rsidR="008F182F" w:rsidRPr="00E93721" w:rsidRDefault="008F182F" w:rsidP="00116488">
            <w:pPr>
              <w:pStyle w:val="Normal-pool"/>
              <w:widowControl w:val="0"/>
              <w:spacing w:before="60"/>
            </w:pPr>
            <w:r w:rsidRPr="00E93721">
              <w:t>Consider and agree on a list of waste streams for which additional practical guidance on the development of inventories should be developed, based on the report prepared by the Secretariat.</w:t>
            </w:r>
          </w:p>
        </w:tc>
        <w:tc>
          <w:tcPr>
            <w:tcW w:w="2124" w:type="dxa"/>
            <w:tcBorders>
              <w:top w:val="single" w:sz="4" w:space="0" w:color="auto"/>
              <w:left w:val="single" w:sz="4" w:space="0" w:color="auto"/>
              <w:bottom w:val="single" w:sz="4" w:space="0" w:color="auto"/>
              <w:right w:val="single" w:sz="4" w:space="0" w:color="auto"/>
            </w:tcBorders>
          </w:tcPr>
          <w:p w:rsidR="008F182F" w:rsidRPr="00E93721" w:rsidRDefault="008F182F" w:rsidP="00116488">
            <w:pPr>
              <w:pStyle w:val="Normal-pool"/>
              <w:widowControl w:val="0"/>
              <w:spacing w:before="60" w:after="60"/>
            </w:pPr>
            <w:r w:rsidRPr="00E93721">
              <w:t>Decision BC-12/6</w:t>
            </w:r>
          </w:p>
        </w:tc>
        <w:tc>
          <w:tcPr>
            <w:tcW w:w="999" w:type="dxa"/>
            <w:tcBorders>
              <w:top w:val="single" w:sz="4" w:space="0" w:color="auto"/>
              <w:left w:val="single" w:sz="4" w:space="0" w:color="auto"/>
              <w:bottom w:val="single" w:sz="4" w:space="0" w:color="auto"/>
              <w:right w:val="single" w:sz="4" w:space="0" w:color="auto"/>
            </w:tcBorders>
          </w:tcPr>
          <w:p w:rsidR="008F182F" w:rsidRPr="00E93721" w:rsidRDefault="008F182F" w:rsidP="00116488">
            <w:pPr>
              <w:pStyle w:val="Normal-pool"/>
              <w:widowControl w:val="0"/>
              <w:spacing w:before="60" w:after="60"/>
            </w:pPr>
            <w:r w:rsidRPr="00E93721">
              <w:t>Medium</w:t>
            </w:r>
          </w:p>
        </w:tc>
      </w:tr>
      <w:tr w:rsidR="008F182F" w:rsidRPr="00E93721" w:rsidTr="00116488">
        <w:trPr>
          <w:trHeight w:val="20"/>
        </w:trPr>
        <w:tc>
          <w:tcPr>
            <w:tcW w:w="8504" w:type="dxa"/>
            <w:gridSpan w:val="4"/>
          </w:tcPr>
          <w:p w:rsidR="008F182F" w:rsidRPr="00E93721" w:rsidRDefault="008F182F" w:rsidP="00116488">
            <w:pPr>
              <w:pStyle w:val="CH3"/>
              <w:keepLines w:val="0"/>
              <w:widowControl w:val="0"/>
              <w:tabs>
                <w:tab w:val="clear" w:pos="851"/>
                <w:tab w:val="clear" w:pos="1247"/>
                <w:tab w:val="clear" w:pos="1814"/>
                <w:tab w:val="clear" w:pos="2381"/>
                <w:tab w:val="clear" w:pos="2948"/>
                <w:tab w:val="clear" w:pos="3515"/>
                <w:tab w:val="left" w:pos="540"/>
              </w:tabs>
              <w:suppressAutoHyphens w:val="0"/>
              <w:spacing w:before="60" w:after="60"/>
              <w:ind w:left="539" w:hanging="539"/>
              <w:rPr>
                <w:i/>
                <w:iCs/>
              </w:rPr>
            </w:pPr>
            <w:r w:rsidRPr="00E93721">
              <w:lastRenderedPageBreak/>
              <w:t xml:space="preserve">III.  Legal, governance and enforcement matters </w:t>
            </w:r>
          </w:p>
        </w:tc>
      </w:tr>
      <w:tr w:rsidR="008F182F" w:rsidRPr="00E93721" w:rsidTr="00116488">
        <w:trPr>
          <w:trHeight w:val="1708"/>
        </w:trPr>
        <w:tc>
          <w:tcPr>
            <w:tcW w:w="1695" w:type="dxa"/>
          </w:tcPr>
          <w:p w:rsidR="008F182F" w:rsidRPr="00E93721" w:rsidRDefault="008F182F" w:rsidP="00116488">
            <w:pPr>
              <w:pStyle w:val="Normal-pool"/>
              <w:widowControl w:val="0"/>
              <w:spacing w:before="60" w:after="60"/>
            </w:pPr>
            <w:r w:rsidRPr="00E93721">
              <w:t>A. Consultation with the Committee for Administering the Mechanism for Promoting Implementation and Compliance of the Basel Convention</w:t>
            </w:r>
          </w:p>
        </w:tc>
        <w:tc>
          <w:tcPr>
            <w:tcW w:w="3686" w:type="dxa"/>
          </w:tcPr>
          <w:p w:rsidR="008F182F" w:rsidRPr="00E93721" w:rsidRDefault="008F182F" w:rsidP="00116488">
            <w:pPr>
              <w:rPr>
                <w:rFonts w:eastAsia="Batang"/>
                <w:b/>
                <w:i/>
                <w:lang w:eastAsia="ko-KR"/>
              </w:rPr>
            </w:pPr>
            <w:r w:rsidRPr="00E93721">
              <w:rPr>
                <w:rFonts w:eastAsia="Batang"/>
                <w:lang w:eastAsia="ko-KR"/>
              </w:rPr>
              <w:t>Consult the Committee on the development of guidance on the take-back provision under paragraph 2 of Article 9 and the implementation of paragraphs 3 and 4 of Article 9 of the Convention.</w:t>
            </w:r>
          </w:p>
        </w:tc>
        <w:tc>
          <w:tcPr>
            <w:tcW w:w="2124" w:type="dxa"/>
          </w:tcPr>
          <w:p w:rsidR="008F182F" w:rsidRPr="00E93721" w:rsidRDefault="008F182F" w:rsidP="00116488">
            <w:pPr>
              <w:widowControl w:val="0"/>
              <w:spacing w:before="60" w:after="60"/>
            </w:pPr>
            <w:r w:rsidRPr="00E93721">
              <w:t>Decision BC-12/7</w:t>
            </w:r>
          </w:p>
        </w:tc>
        <w:tc>
          <w:tcPr>
            <w:tcW w:w="999" w:type="dxa"/>
          </w:tcPr>
          <w:p w:rsidR="008F182F" w:rsidRPr="00E93721" w:rsidDel="007B0D22" w:rsidRDefault="008F182F" w:rsidP="00116488">
            <w:pPr>
              <w:pStyle w:val="Normal-pool"/>
              <w:widowControl w:val="0"/>
              <w:spacing w:before="60" w:after="60"/>
            </w:pPr>
            <w:r w:rsidRPr="00E93721">
              <w:t>High</w:t>
            </w:r>
          </w:p>
        </w:tc>
      </w:tr>
      <w:tr w:rsidR="008F182F" w:rsidRPr="00E93721" w:rsidTr="00116488">
        <w:trPr>
          <w:trHeight w:val="253"/>
        </w:trPr>
        <w:tc>
          <w:tcPr>
            <w:tcW w:w="1695" w:type="dxa"/>
            <w:tcBorders>
              <w:top w:val="single" w:sz="4" w:space="0" w:color="auto"/>
              <w:left w:val="single" w:sz="4" w:space="0" w:color="auto"/>
              <w:right w:val="single" w:sz="4" w:space="0" w:color="auto"/>
            </w:tcBorders>
          </w:tcPr>
          <w:p w:rsidR="008F182F" w:rsidRPr="00E93721" w:rsidRDefault="008F182F" w:rsidP="00116488">
            <w:pPr>
              <w:pStyle w:val="Normal-pool"/>
              <w:widowControl w:val="0"/>
              <w:spacing w:before="60" w:after="60"/>
              <w:rPr>
                <w:b/>
                <w:i/>
              </w:rPr>
            </w:pPr>
            <w:r w:rsidRPr="00E93721">
              <w:t>B. Providing further legal clarity (country-led initiative)</w:t>
            </w:r>
          </w:p>
        </w:tc>
        <w:tc>
          <w:tcPr>
            <w:tcW w:w="3686" w:type="dxa"/>
            <w:tcBorders>
              <w:top w:val="single" w:sz="4" w:space="0" w:color="auto"/>
              <w:left w:val="single" w:sz="4" w:space="0" w:color="auto"/>
              <w:bottom w:val="single" w:sz="4" w:space="0" w:color="auto"/>
              <w:right w:val="single" w:sz="4" w:space="0" w:color="auto"/>
            </w:tcBorders>
          </w:tcPr>
          <w:p w:rsidR="008F182F" w:rsidRPr="00E93721" w:rsidRDefault="008F182F" w:rsidP="00116488">
            <w:pPr>
              <w:pStyle w:val="Normal-pool"/>
              <w:widowControl w:val="0"/>
              <w:spacing w:before="60" w:after="120"/>
            </w:pPr>
            <w:r w:rsidRPr="00E93721">
              <w:t xml:space="preserve">1. Consider the revised version of the draft glossary including explanations prepared by the small </w:t>
            </w:r>
            <w:proofErr w:type="spellStart"/>
            <w:r w:rsidRPr="00E93721">
              <w:t>intersessional</w:t>
            </w:r>
            <w:proofErr w:type="spellEnd"/>
            <w:r w:rsidRPr="00E93721">
              <w:t xml:space="preserve"> working group on legal clarity, finalize the glossary and prepare a draft decision for the Conference of the Parties at its thirteenth meeting for its consideration and possible adoption.</w:t>
            </w:r>
          </w:p>
          <w:p w:rsidR="008F182F" w:rsidRPr="00E93721" w:rsidRDefault="008F182F" w:rsidP="00116488">
            <w:pPr>
              <w:pStyle w:val="Normal-pool"/>
              <w:widowControl w:val="0"/>
              <w:spacing w:before="60" w:after="120"/>
            </w:pPr>
            <w:r w:rsidRPr="00E93721">
              <w:t>2. Consider recommendations on the review of Annex IV and related issues under Annex IX to the Convention.</w:t>
            </w:r>
          </w:p>
          <w:p w:rsidR="008F182F" w:rsidRPr="00E93721" w:rsidRDefault="008F182F" w:rsidP="00116488">
            <w:pPr>
              <w:pStyle w:val="Normal-pool"/>
              <w:widowControl w:val="0"/>
              <w:spacing w:before="60" w:after="120"/>
              <w:rPr>
                <w:b/>
                <w:i/>
              </w:rPr>
            </w:pPr>
            <w:r w:rsidRPr="00E93721">
              <w:t>3. Consider views from parties and others on the review of Annexes I and III to the Convention.</w:t>
            </w:r>
          </w:p>
        </w:tc>
        <w:tc>
          <w:tcPr>
            <w:tcW w:w="2124" w:type="dxa"/>
            <w:tcBorders>
              <w:top w:val="single" w:sz="4" w:space="0" w:color="auto"/>
              <w:left w:val="single" w:sz="4" w:space="0" w:color="auto"/>
              <w:right w:val="single" w:sz="4" w:space="0" w:color="auto"/>
            </w:tcBorders>
          </w:tcPr>
          <w:p w:rsidR="008F182F" w:rsidRPr="00E93721" w:rsidRDefault="008F182F" w:rsidP="00116488">
            <w:pPr>
              <w:widowControl w:val="0"/>
              <w:spacing w:before="60" w:after="60"/>
            </w:pPr>
            <w:r w:rsidRPr="00E93721">
              <w:t>Decision BC-12/1</w:t>
            </w:r>
          </w:p>
        </w:tc>
        <w:tc>
          <w:tcPr>
            <w:tcW w:w="999" w:type="dxa"/>
            <w:tcBorders>
              <w:top w:val="single" w:sz="4" w:space="0" w:color="auto"/>
              <w:left w:val="single" w:sz="4" w:space="0" w:color="auto"/>
              <w:right w:val="single" w:sz="4" w:space="0" w:color="auto"/>
            </w:tcBorders>
          </w:tcPr>
          <w:p w:rsidR="008F182F" w:rsidRPr="00E93721" w:rsidRDefault="008F182F" w:rsidP="00116488">
            <w:pPr>
              <w:pStyle w:val="Normal-pool"/>
              <w:widowControl w:val="0"/>
              <w:spacing w:before="60" w:after="60"/>
            </w:pPr>
            <w:r w:rsidRPr="00E93721">
              <w:t>High</w:t>
            </w:r>
          </w:p>
          <w:p w:rsidR="008F182F" w:rsidRPr="00E93721" w:rsidRDefault="008F182F" w:rsidP="00116488">
            <w:pPr>
              <w:pStyle w:val="Normal-pool"/>
              <w:widowControl w:val="0"/>
              <w:spacing w:before="60" w:after="60"/>
            </w:pPr>
          </w:p>
          <w:p w:rsidR="008F182F" w:rsidRPr="00E93721" w:rsidRDefault="008F182F" w:rsidP="00116488">
            <w:pPr>
              <w:pStyle w:val="Normal-pool"/>
              <w:widowControl w:val="0"/>
              <w:spacing w:before="60" w:after="60"/>
            </w:pPr>
          </w:p>
          <w:p w:rsidR="008F182F" w:rsidRPr="00E93721" w:rsidRDefault="008F182F" w:rsidP="00116488">
            <w:pPr>
              <w:pStyle w:val="Normal-pool"/>
              <w:widowControl w:val="0"/>
              <w:spacing w:before="60" w:after="60"/>
            </w:pPr>
          </w:p>
          <w:p w:rsidR="008F182F" w:rsidRPr="00E93721" w:rsidRDefault="008F182F" w:rsidP="00116488">
            <w:pPr>
              <w:pStyle w:val="Normal-pool"/>
              <w:widowControl w:val="0"/>
              <w:spacing w:before="60" w:after="60"/>
            </w:pPr>
          </w:p>
          <w:p w:rsidR="008F182F" w:rsidRPr="00E93721" w:rsidRDefault="008F182F" w:rsidP="00116488">
            <w:pPr>
              <w:pStyle w:val="Normal-pool"/>
              <w:widowControl w:val="0"/>
              <w:spacing w:before="60" w:after="60"/>
            </w:pPr>
          </w:p>
          <w:p w:rsidR="008F182F" w:rsidRPr="00E93721" w:rsidRDefault="008F182F" w:rsidP="00116488">
            <w:pPr>
              <w:pStyle w:val="Normal-pool"/>
              <w:widowControl w:val="0"/>
              <w:spacing w:before="60" w:after="60"/>
            </w:pPr>
            <w:r w:rsidRPr="00E93721">
              <w:t>High</w:t>
            </w:r>
          </w:p>
          <w:p w:rsidR="008F182F" w:rsidRPr="00E93721" w:rsidRDefault="008F182F" w:rsidP="00116488">
            <w:pPr>
              <w:pStyle w:val="Normal-pool"/>
              <w:widowControl w:val="0"/>
              <w:spacing w:before="60" w:after="60"/>
            </w:pPr>
          </w:p>
          <w:p w:rsidR="008F182F" w:rsidRPr="00E93721" w:rsidRDefault="008F182F" w:rsidP="00116488">
            <w:pPr>
              <w:pStyle w:val="Normal-pool"/>
              <w:widowControl w:val="0"/>
              <w:spacing w:before="60" w:after="60"/>
            </w:pPr>
          </w:p>
          <w:p w:rsidR="008F182F" w:rsidRPr="00E93721" w:rsidDel="00FB45D8" w:rsidRDefault="008F182F" w:rsidP="00116488">
            <w:pPr>
              <w:pStyle w:val="Normal-pool"/>
              <w:widowControl w:val="0"/>
              <w:spacing w:before="60" w:after="60"/>
            </w:pPr>
            <w:r w:rsidRPr="00E93721">
              <w:t>Medium</w:t>
            </w:r>
          </w:p>
        </w:tc>
      </w:tr>
      <w:tr w:rsidR="008F182F" w:rsidRPr="00E93721" w:rsidTr="00116488">
        <w:trPr>
          <w:trHeight w:val="20"/>
        </w:trPr>
        <w:tc>
          <w:tcPr>
            <w:tcW w:w="8504" w:type="dxa"/>
            <w:gridSpan w:val="4"/>
            <w:tcBorders>
              <w:top w:val="single" w:sz="4" w:space="0" w:color="auto"/>
              <w:left w:val="single" w:sz="4" w:space="0" w:color="auto"/>
              <w:bottom w:val="single" w:sz="4" w:space="0" w:color="auto"/>
              <w:right w:val="single" w:sz="4" w:space="0" w:color="auto"/>
            </w:tcBorders>
          </w:tcPr>
          <w:p w:rsidR="008F182F" w:rsidRPr="00E93721" w:rsidRDefault="008F182F" w:rsidP="00116488">
            <w:pPr>
              <w:pStyle w:val="CH3"/>
              <w:keepNext w:val="0"/>
              <w:keepLines w:val="0"/>
              <w:widowControl w:val="0"/>
              <w:tabs>
                <w:tab w:val="clear" w:pos="851"/>
                <w:tab w:val="clear" w:pos="1247"/>
                <w:tab w:val="clear" w:pos="1814"/>
                <w:tab w:val="clear" w:pos="2381"/>
                <w:tab w:val="clear" w:pos="2948"/>
                <w:tab w:val="clear" w:pos="3515"/>
                <w:tab w:val="left" w:pos="540"/>
              </w:tabs>
              <w:suppressAutoHyphens w:val="0"/>
              <w:spacing w:before="60" w:after="60"/>
              <w:ind w:left="539" w:hanging="539"/>
              <w:rPr>
                <w:i/>
              </w:rPr>
            </w:pPr>
            <w:r w:rsidRPr="00E93721">
              <w:t>IV. International cooperation and coordination</w:t>
            </w:r>
          </w:p>
        </w:tc>
      </w:tr>
      <w:tr w:rsidR="008F182F" w:rsidRPr="00E93721" w:rsidTr="00116488">
        <w:trPr>
          <w:trHeight w:val="271"/>
        </w:trPr>
        <w:tc>
          <w:tcPr>
            <w:tcW w:w="1695" w:type="dxa"/>
            <w:vMerge w:val="restart"/>
            <w:tcBorders>
              <w:top w:val="single" w:sz="4" w:space="0" w:color="auto"/>
              <w:left w:val="single" w:sz="4" w:space="0" w:color="auto"/>
              <w:right w:val="single" w:sz="4" w:space="0" w:color="auto"/>
            </w:tcBorders>
          </w:tcPr>
          <w:p w:rsidR="008F182F" w:rsidRPr="00E93721" w:rsidRDefault="008F182F" w:rsidP="00116488">
            <w:pPr>
              <w:pStyle w:val="Normal-pool"/>
              <w:widowControl w:val="0"/>
              <w:spacing w:before="60" w:after="60"/>
            </w:pPr>
            <w:r w:rsidRPr="00E93721">
              <w:t>A. Basel Convention Partnership Programme</w:t>
            </w:r>
          </w:p>
        </w:tc>
        <w:tc>
          <w:tcPr>
            <w:tcW w:w="3686" w:type="dxa"/>
            <w:tcBorders>
              <w:top w:val="single" w:sz="4" w:space="0" w:color="auto"/>
              <w:left w:val="single" w:sz="4" w:space="0" w:color="auto"/>
              <w:bottom w:val="single" w:sz="4" w:space="0" w:color="auto"/>
              <w:right w:val="single" w:sz="4" w:space="0" w:color="auto"/>
            </w:tcBorders>
          </w:tcPr>
          <w:p w:rsidR="008F182F" w:rsidRPr="00E93721" w:rsidRDefault="008F182F" w:rsidP="00116488">
            <w:pPr>
              <w:pStyle w:val="Normal-pool"/>
              <w:widowControl w:val="0"/>
              <w:spacing w:before="60"/>
            </w:pPr>
            <w:r w:rsidRPr="00E93721">
              <w:t>1. Consider the report of the Partnership for Action on Computing Equipment (PACE) Working Group.</w:t>
            </w:r>
          </w:p>
          <w:p w:rsidR="008F182F" w:rsidRPr="00E93721" w:rsidRDefault="008F182F" w:rsidP="00116488">
            <w:pPr>
              <w:pStyle w:val="Normal-pool"/>
              <w:widowControl w:val="0"/>
              <w:spacing w:before="60"/>
            </w:pPr>
            <w:r w:rsidRPr="00E93721">
              <w:t>2. Consider the revised section 3 of the guidance document on the environmentally sound management of used and end-of-life computing equipment and submit it, amended as appropriate, to the Conference of the Parties at its thirteenth meeting for its consideration and possible adoption.</w:t>
            </w:r>
          </w:p>
        </w:tc>
        <w:tc>
          <w:tcPr>
            <w:tcW w:w="2124" w:type="dxa"/>
            <w:tcBorders>
              <w:top w:val="single" w:sz="4" w:space="0" w:color="auto"/>
              <w:left w:val="single" w:sz="4" w:space="0" w:color="auto"/>
              <w:bottom w:val="single" w:sz="4" w:space="0" w:color="auto"/>
              <w:right w:val="single" w:sz="4" w:space="0" w:color="auto"/>
            </w:tcBorders>
          </w:tcPr>
          <w:p w:rsidR="008F182F" w:rsidRPr="00E93721" w:rsidRDefault="008F182F" w:rsidP="00116488">
            <w:pPr>
              <w:pStyle w:val="Normal-pool"/>
              <w:widowControl w:val="0"/>
              <w:spacing w:before="60" w:after="60"/>
            </w:pPr>
            <w:r w:rsidRPr="00E93721">
              <w:t>Decision BC-12/12</w:t>
            </w:r>
          </w:p>
        </w:tc>
        <w:tc>
          <w:tcPr>
            <w:tcW w:w="999" w:type="dxa"/>
            <w:tcBorders>
              <w:top w:val="single" w:sz="4" w:space="0" w:color="auto"/>
              <w:left w:val="single" w:sz="4" w:space="0" w:color="auto"/>
              <w:bottom w:val="single" w:sz="4" w:space="0" w:color="auto"/>
              <w:right w:val="single" w:sz="4" w:space="0" w:color="auto"/>
            </w:tcBorders>
          </w:tcPr>
          <w:p w:rsidR="008F182F" w:rsidRPr="00E93721" w:rsidRDefault="008F182F" w:rsidP="00116488">
            <w:pPr>
              <w:pStyle w:val="Normal-pool"/>
              <w:widowControl w:val="0"/>
              <w:spacing w:before="60" w:after="60"/>
            </w:pPr>
            <w:r w:rsidRPr="00E93721">
              <w:t>Medium</w:t>
            </w:r>
          </w:p>
          <w:p w:rsidR="008F182F" w:rsidRPr="00E93721" w:rsidRDefault="008F182F" w:rsidP="00116488">
            <w:pPr>
              <w:pStyle w:val="Normal-pool"/>
              <w:widowControl w:val="0"/>
              <w:spacing w:before="60" w:after="60"/>
            </w:pPr>
          </w:p>
          <w:p w:rsidR="008F182F" w:rsidRPr="00E93721" w:rsidRDefault="008F182F" w:rsidP="00116488">
            <w:pPr>
              <w:pStyle w:val="Normal-pool"/>
              <w:widowControl w:val="0"/>
              <w:spacing w:before="60" w:after="60"/>
            </w:pPr>
          </w:p>
          <w:p w:rsidR="008F182F" w:rsidRPr="00E93721" w:rsidRDefault="008F182F" w:rsidP="00116488">
            <w:pPr>
              <w:pStyle w:val="Normal-pool"/>
              <w:widowControl w:val="0"/>
              <w:spacing w:before="60" w:after="60"/>
            </w:pPr>
            <w:r w:rsidRPr="00E93721">
              <w:t>Medium</w:t>
            </w:r>
          </w:p>
        </w:tc>
      </w:tr>
      <w:tr w:rsidR="008F182F" w:rsidRPr="00E93721" w:rsidTr="00116488">
        <w:trPr>
          <w:trHeight w:val="271"/>
        </w:trPr>
        <w:tc>
          <w:tcPr>
            <w:tcW w:w="1695" w:type="dxa"/>
            <w:vMerge/>
            <w:tcBorders>
              <w:left w:val="single" w:sz="4" w:space="0" w:color="auto"/>
              <w:bottom w:val="single" w:sz="4" w:space="0" w:color="auto"/>
              <w:right w:val="single" w:sz="4" w:space="0" w:color="auto"/>
            </w:tcBorders>
          </w:tcPr>
          <w:p w:rsidR="008F182F" w:rsidRPr="00E93721" w:rsidRDefault="008F182F" w:rsidP="00116488">
            <w:pPr>
              <w:pStyle w:val="Normal-pool"/>
              <w:widowControl w:val="0"/>
              <w:spacing w:before="60" w:after="60"/>
            </w:pPr>
          </w:p>
        </w:tc>
        <w:tc>
          <w:tcPr>
            <w:tcW w:w="3686" w:type="dxa"/>
            <w:tcBorders>
              <w:top w:val="single" w:sz="4" w:space="0" w:color="auto"/>
              <w:left w:val="single" w:sz="4" w:space="0" w:color="auto"/>
              <w:bottom w:val="single" w:sz="4" w:space="0" w:color="auto"/>
              <w:right w:val="single" w:sz="4" w:space="0" w:color="auto"/>
            </w:tcBorders>
          </w:tcPr>
          <w:p w:rsidR="008F182F" w:rsidRPr="00E93721" w:rsidRDefault="008F182F" w:rsidP="00116488">
            <w:pPr>
              <w:pStyle w:val="Normal-pool"/>
              <w:widowControl w:val="0"/>
              <w:spacing w:before="60"/>
              <w:rPr>
                <w:b/>
              </w:rPr>
            </w:pPr>
            <w:r w:rsidRPr="00E93721">
              <w:t xml:space="preserve">3. Develop a work plan on the environmentally sound management of household wastes, with a focus on the needs of developing countries and countries with economies in transition, including but not limited to the development of guidance documents and/or manuals on matters such as best practices, business models and innovative solutions for a circular economy in various socio-economic contexts and a concept for a partnership that will assist municipalities. </w:t>
            </w:r>
          </w:p>
        </w:tc>
        <w:tc>
          <w:tcPr>
            <w:tcW w:w="2124" w:type="dxa"/>
            <w:tcBorders>
              <w:top w:val="single" w:sz="4" w:space="0" w:color="auto"/>
              <w:left w:val="single" w:sz="4" w:space="0" w:color="auto"/>
              <w:bottom w:val="single" w:sz="4" w:space="0" w:color="auto"/>
              <w:right w:val="single" w:sz="4" w:space="0" w:color="auto"/>
            </w:tcBorders>
          </w:tcPr>
          <w:p w:rsidR="008F182F" w:rsidRPr="00E93721" w:rsidRDefault="008F182F" w:rsidP="00116488">
            <w:pPr>
              <w:pStyle w:val="Normal-pool"/>
              <w:widowControl w:val="0"/>
              <w:spacing w:before="60" w:after="60"/>
            </w:pPr>
            <w:r w:rsidRPr="00E93721">
              <w:t>Decision BC-12/13</w:t>
            </w:r>
          </w:p>
        </w:tc>
        <w:tc>
          <w:tcPr>
            <w:tcW w:w="999" w:type="dxa"/>
            <w:tcBorders>
              <w:top w:val="single" w:sz="4" w:space="0" w:color="auto"/>
              <w:left w:val="single" w:sz="4" w:space="0" w:color="auto"/>
              <w:bottom w:val="single" w:sz="4" w:space="0" w:color="auto"/>
              <w:right w:val="single" w:sz="4" w:space="0" w:color="auto"/>
            </w:tcBorders>
          </w:tcPr>
          <w:p w:rsidR="008F182F" w:rsidRPr="00E93721" w:rsidRDefault="008F182F" w:rsidP="00116488">
            <w:pPr>
              <w:pStyle w:val="Normal-pool"/>
              <w:widowControl w:val="0"/>
              <w:spacing w:before="60" w:after="60"/>
            </w:pPr>
            <w:r w:rsidRPr="00E93721">
              <w:t>High</w:t>
            </w:r>
          </w:p>
        </w:tc>
      </w:tr>
      <w:tr w:rsidR="008F182F" w:rsidRPr="00E93721" w:rsidTr="00116488">
        <w:trPr>
          <w:trHeight w:val="712"/>
        </w:trPr>
        <w:tc>
          <w:tcPr>
            <w:tcW w:w="1695" w:type="dxa"/>
            <w:tcBorders>
              <w:top w:val="single" w:sz="4" w:space="0" w:color="auto"/>
              <w:left w:val="single" w:sz="4" w:space="0" w:color="auto"/>
              <w:bottom w:val="single" w:sz="4" w:space="0" w:color="auto"/>
              <w:right w:val="single" w:sz="4" w:space="0" w:color="auto"/>
            </w:tcBorders>
          </w:tcPr>
          <w:p w:rsidR="008F182F" w:rsidRPr="00E93721" w:rsidRDefault="008F182F" w:rsidP="00116488">
            <w:pPr>
              <w:pStyle w:val="Normal-pool"/>
              <w:widowControl w:val="0"/>
              <w:spacing w:before="60" w:after="60"/>
            </w:pPr>
            <w:r w:rsidRPr="00E93721">
              <w:t xml:space="preserve">B. Cooperation between the Basel Convention and </w:t>
            </w:r>
            <w:r w:rsidRPr="00E93721">
              <w:lastRenderedPageBreak/>
              <w:t>the International Maritime Organization</w:t>
            </w:r>
          </w:p>
        </w:tc>
        <w:tc>
          <w:tcPr>
            <w:tcW w:w="3686" w:type="dxa"/>
            <w:tcBorders>
              <w:top w:val="single" w:sz="4" w:space="0" w:color="auto"/>
              <w:left w:val="single" w:sz="4" w:space="0" w:color="auto"/>
              <w:bottom w:val="single" w:sz="4" w:space="0" w:color="auto"/>
              <w:right w:val="single" w:sz="4" w:space="0" w:color="auto"/>
            </w:tcBorders>
          </w:tcPr>
          <w:p w:rsidR="008F182F" w:rsidRPr="00E93721" w:rsidRDefault="008F182F" w:rsidP="00116488">
            <w:pPr>
              <w:pStyle w:val="Normal-pool"/>
              <w:widowControl w:val="0"/>
              <w:spacing w:before="60"/>
            </w:pPr>
            <w:r w:rsidRPr="00E93721">
              <w:lastRenderedPageBreak/>
              <w:t xml:space="preserve">Consider and finalize the revised draft guidance manual on how to improve the sea-land interface to ensure that wastes </w:t>
            </w:r>
            <w:r w:rsidRPr="00E93721">
              <w:lastRenderedPageBreak/>
              <w:t>falling within the scope of the International Convention for the Prevention of Pollution from Ships, once offloaded from ships, are managed in an environmentally sound manner, for consideration by the Conference of the Parties at its thirteenth meeting.</w:t>
            </w:r>
          </w:p>
        </w:tc>
        <w:tc>
          <w:tcPr>
            <w:tcW w:w="2124" w:type="dxa"/>
            <w:tcBorders>
              <w:top w:val="single" w:sz="4" w:space="0" w:color="auto"/>
              <w:left w:val="single" w:sz="4" w:space="0" w:color="auto"/>
              <w:bottom w:val="single" w:sz="4" w:space="0" w:color="auto"/>
              <w:right w:val="single" w:sz="4" w:space="0" w:color="auto"/>
            </w:tcBorders>
          </w:tcPr>
          <w:p w:rsidR="008F182F" w:rsidRPr="00E93721" w:rsidRDefault="008F182F" w:rsidP="00116488">
            <w:pPr>
              <w:pStyle w:val="Normal-pool"/>
              <w:widowControl w:val="0"/>
              <w:spacing w:before="60" w:after="60"/>
            </w:pPr>
            <w:r w:rsidRPr="00E93721">
              <w:lastRenderedPageBreak/>
              <w:t>Decision BC-12/16</w:t>
            </w:r>
          </w:p>
        </w:tc>
        <w:tc>
          <w:tcPr>
            <w:tcW w:w="999" w:type="dxa"/>
            <w:tcBorders>
              <w:top w:val="single" w:sz="4" w:space="0" w:color="auto"/>
              <w:left w:val="single" w:sz="4" w:space="0" w:color="auto"/>
              <w:bottom w:val="single" w:sz="4" w:space="0" w:color="auto"/>
              <w:right w:val="single" w:sz="4" w:space="0" w:color="auto"/>
            </w:tcBorders>
          </w:tcPr>
          <w:p w:rsidR="008F182F" w:rsidRPr="00E93721" w:rsidRDefault="008F182F" w:rsidP="00116488">
            <w:pPr>
              <w:pStyle w:val="Normal-pool"/>
              <w:widowControl w:val="0"/>
              <w:spacing w:before="60" w:after="60"/>
            </w:pPr>
            <w:r w:rsidRPr="00E93721">
              <w:t>Medium</w:t>
            </w:r>
          </w:p>
        </w:tc>
      </w:tr>
      <w:tr w:rsidR="008F182F" w:rsidRPr="00E93721" w:rsidTr="00116488">
        <w:trPr>
          <w:trHeight w:val="20"/>
        </w:trPr>
        <w:tc>
          <w:tcPr>
            <w:tcW w:w="8504" w:type="dxa"/>
            <w:gridSpan w:val="4"/>
            <w:tcBorders>
              <w:top w:val="single" w:sz="4" w:space="0" w:color="auto"/>
              <w:left w:val="single" w:sz="4" w:space="0" w:color="auto"/>
              <w:bottom w:val="single" w:sz="4" w:space="0" w:color="auto"/>
              <w:right w:val="single" w:sz="4" w:space="0" w:color="auto"/>
            </w:tcBorders>
          </w:tcPr>
          <w:p w:rsidR="008F182F" w:rsidRPr="00E93721" w:rsidRDefault="008F182F" w:rsidP="00116488">
            <w:pPr>
              <w:pStyle w:val="Normal-pool"/>
              <w:keepNext/>
              <w:keepLines/>
              <w:widowControl w:val="0"/>
              <w:tabs>
                <w:tab w:val="clear" w:pos="1247"/>
                <w:tab w:val="clear" w:pos="1814"/>
                <w:tab w:val="clear" w:pos="2381"/>
                <w:tab w:val="clear" w:pos="2948"/>
                <w:tab w:val="clear" w:pos="3515"/>
              </w:tabs>
              <w:spacing w:before="60" w:after="60"/>
              <w:ind w:left="601" w:hanging="601"/>
              <w:rPr>
                <w:b/>
                <w:bCs/>
              </w:rPr>
            </w:pPr>
            <w:r w:rsidRPr="00E93721">
              <w:rPr>
                <w:b/>
                <w:bCs/>
              </w:rPr>
              <w:lastRenderedPageBreak/>
              <w:t>V.  Programme of work and budget</w:t>
            </w:r>
          </w:p>
        </w:tc>
      </w:tr>
      <w:tr w:rsidR="008F182F" w:rsidRPr="00E93721" w:rsidTr="00116488">
        <w:trPr>
          <w:trHeight w:val="163"/>
        </w:trPr>
        <w:tc>
          <w:tcPr>
            <w:tcW w:w="1695" w:type="dxa"/>
            <w:tcBorders>
              <w:top w:val="single" w:sz="4" w:space="0" w:color="auto"/>
              <w:left w:val="single" w:sz="4" w:space="0" w:color="auto"/>
              <w:right w:val="single" w:sz="4" w:space="0" w:color="auto"/>
            </w:tcBorders>
          </w:tcPr>
          <w:p w:rsidR="008F182F" w:rsidRPr="00E93721" w:rsidRDefault="008F182F" w:rsidP="00116488">
            <w:pPr>
              <w:pStyle w:val="Normal-pool"/>
              <w:keepNext/>
              <w:keepLines/>
              <w:widowControl w:val="0"/>
              <w:spacing w:before="60" w:after="60"/>
              <w:rPr>
                <w:b/>
                <w:bCs/>
              </w:rPr>
            </w:pPr>
            <w:r w:rsidRPr="00E93721">
              <w:t xml:space="preserve">Financing and budget for the biennium </w:t>
            </w:r>
            <w:r w:rsidRPr="00E93721">
              <w:br/>
              <w:t>2016–2017</w:t>
            </w:r>
          </w:p>
        </w:tc>
        <w:tc>
          <w:tcPr>
            <w:tcW w:w="3686" w:type="dxa"/>
            <w:tcBorders>
              <w:top w:val="single" w:sz="4" w:space="0" w:color="auto"/>
              <w:left w:val="single" w:sz="4" w:space="0" w:color="auto"/>
              <w:right w:val="single" w:sz="4" w:space="0" w:color="auto"/>
            </w:tcBorders>
          </w:tcPr>
          <w:p w:rsidR="008F182F" w:rsidRPr="00E93721" w:rsidRDefault="008F182F" w:rsidP="00116488">
            <w:pPr>
              <w:pStyle w:val="Normal-pool"/>
              <w:keepNext/>
              <w:keepLines/>
              <w:widowControl w:val="0"/>
              <w:spacing w:before="60" w:after="60"/>
            </w:pPr>
            <w:r w:rsidRPr="00E93721">
              <w:t>Consider the reports by the Secretariat on all sources of income received, including the reserve and fund balances and interest, together with actual, provisional and projected expenditures and commitments, and by the Executive Secretary on all expenditures against the agreed budget lines.</w:t>
            </w:r>
          </w:p>
        </w:tc>
        <w:tc>
          <w:tcPr>
            <w:tcW w:w="2124" w:type="dxa"/>
            <w:tcBorders>
              <w:top w:val="single" w:sz="4" w:space="0" w:color="auto"/>
              <w:left w:val="single" w:sz="4" w:space="0" w:color="auto"/>
              <w:right w:val="single" w:sz="4" w:space="0" w:color="auto"/>
            </w:tcBorders>
          </w:tcPr>
          <w:p w:rsidR="008F182F" w:rsidRPr="00E93721" w:rsidRDefault="008F182F" w:rsidP="00116488">
            <w:pPr>
              <w:pStyle w:val="Normal-pool"/>
              <w:widowControl w:val="0"/>
              <w:spacing w:before="60" w:after="60"/>
            </w:pPr>
            <w:r w:rsidRPr="00E93721">
              <w:t>Decision BC-12/25</w:t>
            </w:r>
          </w:p>
        </w:tc>
        <w:tc>
          <w:tcPr>
            <w:tcW w:w="999" w:type="dxa"/>
            <w:tcBorders>
              <w:top w:val="single" w:sz="4" w:space="0" w:color="auto"/>
              <w:left w:val="single" w:sz="4" w:space="0" w:color="auto"/>
              <w:right w:val="single" w:sz="4" w:space="0" w:color="auto"/>
            </w:tcBorders>
          </w:tcPr>
          <w:p w:rsidR="008F182F" w:rsidRPr="00E93721" w:rsidRDefault="008F182F" w:rsidP="00116488">
            <w:pPr>
              <w:pStyle w:val="Normal-pool"/>
              <w:widowControl w:val="0"/>
              <w:spacing w:before="60" w:after="60"/>
            </w:pPr>
            <w:r w:rsidRPr="00E93721">
              <w:t>Medium</w:t>
            </w:r>
          </w:p>
        </w:tc>
      </w:tr>
    </w:tbl>
    <w:p w:rsidR="00183597" w:rsidRDefault="00183597"/>
    <w:sectPr w:rsidR="00183597" w:rsidSect="001835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1194C"/>
    <w:multiLevelType w:val="hybridMultilevel"/>
    <w:tmpl w:val="9B548E76"/>
    <w:lvl w:ilvl="0" w:tplc="9892855E">
      <w:start w:val="1"/>
      <w:numFmt w:val="lowerLetter"/>
      <w:lvlText w:val="(%1)"/>
      <w:lvlJc w:val="left"/>
      <w:pPr>
        <w:ind w:left="720" w:hanging="360"/>
      </w:pPr>
      <w:rPr>
        <w:rFonts w:cs="Times New Roman" w:hint="default"/>
      </w:rPr>
    </w:lvl>
    <w:lvl w:ilvl="1" w:tplc="E9C49AD0" w:tentative="1">
      <w:start w:val="1"/>
      <w:numFmt w:val="lowerLetter"/>
      <w:lvlText w:val="%2."/>
      <w:lvlJc w:val="left"/>
      <w:pPr>
        <w:ind w:left="1440" w:hanging="360"/>
      </w:pPr>
    </w:lvl>
    <w:lvl w:ilvl="2" w:tplc="AD5088EC" w:tentative="1">
      <w:start w:val="1"/>
      <w:numFmt w:val="lowerRoman"/>
      <w:lvlText w:val="%3."/>
      <w:lvlJc w:val="right"/>
      <w:pPr>
        <w:ind w:left="2160" w:hanging="180"/>
      </w:pPr>
    </w:lvl>
    <w:lvl w:ilvl="3" w:tplc="3626999C" w:tentative="1">
      <w:start w:val="1"/>
      <w:numFmt w:val="decimal"/>
      <w:lvlText w:val="%4."/>
      <w:lvlJc w:val="left"/>
      <w:pPr>
        <w:ind w:left="2880" w:hanging="360"/>
      </w:pPr>
    </w:lvl>
    <w:lvl w:ilvl="4" w:tplc="6C406F2A" w:tentative="1">
      <w:start w:val="1"/>
      <w:numFmt w:val="lowerLetter"/>
      <w:lvlText w:val="%5."/>
      <w:lvlJc w:val="left"/>
      <w:pPr>
        <w:ind w:left="3600" w:hanging="360"/>
      </w:pPr>
    </w:lvl>
    <w:lvl w:ilvl="5" w:tplc="1BF27F36" w:tentative="1">
      <w:start w:val="1"/>
      <w:numFmt w:val="lowerRoman"/>
      <w:lvlText w:val="%6."/>
      <w:lvlJc w:val="right"/>
      <w:pPr>
        <w:ind w:left="4320" w:hanging="180"/>
      </w:pPr>
    </w:lvl>
    <w:lvl w:ilvl="6" w:tplc="C4FECFB8" w:tentative="1">
      <w:start w:val="1"/>
      <w:numFmt w:val="decimal"/>
      <w:lvlText w:val="%7."/>
      <w:lvlJc w:val="left"/>
      <w:pPr>
        <w:ind w:left="5040" w:hanging="360"/>
      </w:pPr>
    </w:lvl>
    <w:lvl w:ilvl="7" w:tplc="52BED9F8" w:tentative="1">
      <w:start w:val="1"/>
      <w:numFmt w:val="lowerLetter"/>
      <w:lvlText w:val="%8."/>
      <w:lvlJc w:val="left"/>
      <w:pPr>
        <w:ind w:left="5760" w:hanging="360"/>
      </w:pPr>
    </w:lvl>
    <w:lvl w:ilvl="8" w:tplc="8B98E45C"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F182F"/>
    <w:rsid w:val="00183597"/>
    <w:rsid w:val="00667986"/>
    <w:rsid w:val="008F18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2F"/>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ool">
    <w:name w:val="Normal-pool"/>
    <w:link w:val="Normal-poolChar"/>
    <w:uiPriority w:val="99"/>
    <w:rsid w:val="008F182F"/>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eastAsia="en-GB"/>
    </w:rPr>
  </w:style>
  <w:style w:type="paragraph" w:customStyle="1" w:styleId="CH1">
    <w:name w:val="CH1"/>
    <w:basedOn w:val="Normal-pool"/>
    <w:next w:val="Normal"/>
    <w:rsid w:val="008F182F"/>
    <w:pPr>
      <w:keepNext/>
      <w:keepLines/>
      <w:tabs>
        <w:tab w:val="right" w:pos="851"/>
      </w:tabs>
      <w:suppressAutoHyphens/>
      <w:spacing w:before="240" w:after="120"/>
      <w:ind w:left="1247" w:right="284" w:hanging="1247"/>
    </w:pPr>
    <w:rPr>
      <w:b/>
      <w:sz w:val="28"/>
      <w:szCs w:val="28"/>
    </w:rPr>
  </w:style>
  <w:style w:type="paragraph" w:customStyle="1" w:styleId="CH3">
    <w:name w:val="CH3"/>
    <w:basedOn w:val="Normal-pool"/>
    <w:next w:val="Normal"/>
    <w:link w:val="CH3Char"/>
    <w:rsid w:val="008F182F"/>
    <w:pPr>
      <w:keepNext/>
      <w:keepLines/>
      <w:tabs>
        <w:tab w:val="right" w:pos="851"/>
      </w:tabs>
      <w:suppressAutoHyphens/>
      <w:spacing w:after="120"/>
      <w:ind w:left="1247" w:right="284" w:hanging="1247"/>
    </w:pPr>
    <w:rPr>
      <w:b/>
    </w:rPr>
  </w:style>
  <w:style w:type="paragraph" w:customStyle="1" w:styleId="ZZAnxheader">
    <w:name w:val="ZZ_Anx_header"/>
    <w:basedOn w:val="Normal-pool"/>
    <w:link w:val="ZZAnxheaderChar"/>
    <w:rsid w:val="008F182F"/>
    <w:rPr>
      <w:b/>
      <w:bCs/>
      <w:sz w:val="28"/>
      <w:szCs w:val="22"/>
      <w:lang/>
    </w:rPr>
  </w:style>
  <w:style w:type="character" w:customStyle="1" w:styleId="Normal-poolChar">
    <w:name w:val="Normal-pool Char"/>
    <w:link w:val="Normal-pool"/>
    <w:uiPriority w:val="99"/>
    <w:rsid w:val="008F182F"/>
    <w:rPr>
      <w:rFonts w:ascii="Times New Roman" w:eastAsia="Times New Roman" w:hAnsi="Times New Roman" w:cs="Times New Roman"/>
      <w:sz w:val="20"/>
      <w:szCs w:val="20"/>
      <w:lang w:val="en-GB" w:eastAsia="en-GB"/>
    </w:rPr>
  </w:style>
  <w:style w:type="character" w:customStyle="1" w:styleId="ZZAnxheaderChar">
    <w:name w:val="ZZ_Anx_header Char"/>
    <w:link w:val="ZZAnxheader"/>
    <w:rsid w:val="008F182F"/>
    <w:rPr>
      <w:rFonts w:ascii="Times New Roman" w:eastAsia="Times New Roman" w:hAnsi="Times New Roman" w:cs="Times New Roman"/>
      <w:b/>
      <w:bCs/>
      <w:sz w:val="28"/>
      <w:lang w:val="en-GB"/>
    </w:rPr>
  </w:style>
  <w:style w:type="character" w:customStyle="1" w:styleId="CH3Char">
    <w:name w:val="CH3 Char"/>
    <w:link w:val="CH3"/>
    <w:rsid w:val="008F182F"/>
    <w:rPr>
      <w:rFonts w:ascii="Times New Roman" w:eastAsia="Times New Roman" w:hAnsi="Times New Roman" w:cs="Times New Roman"/>
      <w:b/>
      <w:sz w:val="20"/>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5596</Characters>
  <Application>Microsoft Office Word</Application>
  <DocSecurity>0</DocSecurity>
  <Lines>46</Lines>
  <Paragraphs>13</Paragraphs>
  <ScaleCrop>false</ScaleCrop>
  <Company>BRS</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brs</dc:creator>
  <cp:lastModifiedBy>brs</cp:lastModifiedBy>
  <cp:revision>1</cp:revision>
  <dcterms:created xsi:type="dcterms:W3CDTF">2015-08-25T08:14:00Z</dcterms:created>
  <dcterms:modified xsi:type="dcterms:W3CDTF">2015-08-25T08:14:00Z</dcterms:modified>
</cp:coreProperties>
</file>